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ascii="仿宋_GB2312" w:eastAsia="仿宋_GB2312"/>
          <w:sz w:val="32"/>
          <w:szCs w:val="32"/>
        </w:rPr>
      </w:pPr>
    </w:p>
    <w:p>
      <w:pPr>
        <w:pStyle w:val="32"/>
        <w:jc w:val="center"/>
        <w:rPr>
          <w:rFonts w:hint="eastAsia" w:ascii="方正小标宋简体" w:hAnsi="Cambria" w:eastAsia="方正小标宋简体"/>
          <w:sz w:val="72"/>
          <w:szCs w:val="72"/>
        </w:rPr>
      </w:pPr>
    </w:p>
    <w:p>
      <w:pPr>
        <w:pStyle w:val="32"/>
        <w:jc w:val="center"/>
        <w:rPr>
          <w:rFonts w:hint="eastAsia" w:ascii="方正小标宋简体" w:hAnsi="Cambria" w:eastAsia="方正小标宋简体"/>
          <w:sz w:val="72"/>
          <w:szCs w:val="72"/>
        </w:rPr>
      </w:pPr>
    </w:p>
    <w:p>
      <w:pPr>
        <w:pStyle w:val="32"/>
        <w:jc w:val="right"/>
        <w:rPr>
          <w:rFonts w:hint="eastAsia" w:ascii="方正小标宋简体" w:hAnsi="Cambria" w:eastAsia="方正小标宋简体"/>
          <w:sz w:val="52"/>
          <w:szCs w:val="52"/>
        </w:rPr>
      </w:pPr>
    </w:p>
    <w:p>
      <w:pPr>
        <w:pStyle w:val="32"/>
        <w:jc w:val="right"/>
        <w:rPr>
          <w:rFonts w:hint="eastAsia" w:ascii="方正小标宋简体" w:hAnsi="Cambria" w:eastAsia="方正小标宋简体"/>
          <w:sz w:val="52"/>
          <w:szCs w:val="52"/>
        </w:rPr>
      </w:pPr>
    </w:p>
    <w:p>
      <w:pPr>
        <w:pStyle w:val="32"/>
        <w:jc w:val="right"/>
        <w:rPr>
          <w:rFonts w:hint="eastAsia" w:ascii="方正小标宋简体" w:hAnsi="Cambria" w:eastAsia="方正小标宋简体"/>
          <w:sz w:val="52"/>
          <w:szCs w:val="52"/>
        </w:rPr>
      </w:pPr>
    </w:p>
    <w:p>
      <w:pPr>
        <w:pStyle w:val="3"/>
        <w:spacing w:before="0" w:after="0" w:line="600" w:lineRule="exact"/>
        <w:jc w:val="center"/>
        <w:rPr>
          <w:rFonts w:hint="eastAsia" w:ascii="方正小标宋简体" w:hAnsi="Cambria" w:eastAsia="方正小标宋简体"/>
          <w:sz w:val="52"/>
          <w:szCs w:val="52"/>
        </w:rPr>
      </w:pPr>
      <w:r>
        <w:rPr>
          <w:rFonts w:hint="eastAsia" w:ascii="方正小标宋简体" w:hAnsi="Cambria" w:eastAsia="方正小标宋简体"/>
          <w:sz w:val="52"/>
          <w:szCs w:val="52"/>
          <w:lang w:val="en-US" w:eastAsia="zh-CN"/>
        </w:rPr>
        <w:t>法学院</w:t>
      </w:r>
      <w:r>
        <w:rPr>
          <w:rFonts w:hint="eastAsia" w:ascii="方正小标宋简体" w:hAnsi="Cambria" w:eastAsia="方正小标宋简体"/>
          <w:sz w:val="52"/>
          <w:szCs w:val="52"/>
        </w:rPr>
        <w:t>教学质量保障制度与</w:t>
      </w:r>
    </w:p>
    <w:p>
      <w:pPr>
        <w:pStyle w:val="3"/>
        <w:spacing w:before="0" w:after="0" w:line="600" w:lineRule="exact"/>
        <w:jc w:val="center"/>
        <w:rPr>
          <w:rFonts w:hint="eastAsia" w:ascii="仿宋_GB2312" w:hAnsi="Times New Roman" w:eastAsia="方正小标宋简体" w:cs="Times New Roman"/>
          <w:lang w:val="en-US" w:eastAsia="zh-CN"/>
        </w:rPr>
      </w:pPr>
      <w:r>
        <w:rPr>
          <w:rFonts w:hint="eastAsia" w:ascii="方正小标宋简体" w:hAnsi="Cambria" w:eastAsia="方正小标宋简体"/>
          <w:sz w:val="52"/>
          <w:szCs w:val="52"/>
        </w:rPr>
        <w:t>督导制度</w:t>
      </w:r>
      <w:r>
        <w:rPr>
          <w:rFonts w:hint="eastAsia" w:ascii="方正小标宋简体" w:hAnsi="Cambria" w:eastAsia="方正小标宋简体"/>
          <w:sz w:val="52"/>
          <w:szCs w:val="52"/>
          <w:lang w:val="en-US" w:eastAsia="zh-CN"/>
        </w:rPr>
        <w:t>汇编</w:t>
      </w:r>
    </w:p>
    <w:p>
      <w:pPr>
        <w:pStyle w:val="3"/>
        <w:spacing w:before="0" w:after="0" w:line="600" w:lineRule="exact"/>
        <w:jc w:val="center"/>
        <w:rPr>
          <w:rFonts w:hint="eastAsia" w:ascii="仿宋_GB2312" w:hAnsi="Times New Roman" w:eastAsia="仿宋_GB2312" w:cs="Times New Roman"/>
        </w:rPr>
      </w:pPr>
    </w:p>
    <w:p>
      <w:pPr>
        <w:pStyle w:val="3"/>
        <w:spacing w:before="0" w:after="0" w:line="600" w:lineRule="exact"/>
        <w:jc w:val="center"/>
        <w:rPr>
          <w:rFonts w:hint="eastAsia" w:ascii="仿宋_GB2312" w:hAnsi="Times New Roman" w:eastAsia="仿宋_GB2312" w:cs="Times New Roman"/>
        </w:rPr>
      </w:pPr>
    </w:p>
    <w:p>
      <w:pPr>
        <w:pStyle w:val="3"/>
        <w:spacing w:before="0" w:after="0" w:line="600" w:lineRule="exact"/>
        <w:jc w:val="center"/>
        <w:rPr>
          <w:rFonts w:hint="eastAsia" w:ascii="仿宋_GB2312" w:hAnsi="Times New Roman" w:eastAsia="仿宋_GB2312" w:cs="Times New Roman"/>
        </w:rPr>
      </w:pPr>
    </w:p>
    <w:p>
      <w:pPr>
        <w:pStyle w:val="3"/>
        <w:spacing w:before="0" w:after="0" w:line="600" w:lineRule="exact"/>
        <w:jc w:val="center"/>
        <w:rPr>
          <w:rFonts w:hint="eastAsia" w:ascii="仿宋_GB2312" w:hAnsi="Times New Roman" w:eastAsia="仿宋_GB2312" w:cs="Times New Roman"/>
        </w:rPr>
      </w:pPr>
    </w:p>
    <w:p>
      <w:pPr>
        <w:pStyle w:val="3"/>
        <w:spacing w:before="0" w:after="0" w:line="600" w:lineRule="exact"/>
        <w:jc w:val="center"/>
        <w:rPr>
          <w:rFonts w:hint="eastAsia" w:ascii="仿宋_GB2312" w:hAnsi="Times New Roman" w:eastAsia="仿宋_GB2312" w:cs="Times New Roman"/>
        </w:rPr>
      </w:pPr>
    </w:p>
    <w:p>
      <w:pPr>
        <w:pStyle w:val="3"/>
        <w:spacing w:before="0" w:after="0" w:line="600" w:lineRule="exact"/>
        <w:jc w:val="center"/>
        <w:rPr>
          <w:rFonts w:hint="eastAsia" w:ascii="仿宋_GB2312" w:hAnsi="Times New Roman" w:eastAsia="仿宋_GB2312" w:cs="Times New Roman"/>
        </w:rPr>
      </w:pPr>
    </w:p>
    <w:p>
      <w:pPr>
        <w:pStyle w:val="3"/>
        <w:spacing w:before="0" w:after="0" w:line="600" w:lineRule="exact"/>
        <w:jc w:val="center"/>
        <w:rPr>
          <w:rFonts w:hint="eastAsia" w:ascii="仿宋_GB2312" w:hAnsi="Times New Roman" w:eastAsia="仿宋_GB2312" w:cs="Times New Roman"/>
        </w:rPr>
      </w:pPr>
    </w:p>
    <w:p>
      <w:pPr>
        <w:pStyle w:val="3"/>
        <w:spacing w:before="0" w:after="0" w:line="600" w:lineRule="exact"/>
        <w:jc w:val="center"/>
        <w:rPr>
          <w:rFonts w:hint="eastAsia" w:ascii="仿宋_GB2312" w:hAnsi="Times New Roman" w:eastAsia="仿宋_GB2312" w:cs="Times New Roman"/>
        </w:rPr>
      </w:pPr>
    </w:p>
    <w:p>
      <w:pPr>
        <w:pStyle w:val="3"/>
        <w:spacing w:before="0" w:after="0" w:line="600" w:lineRule="exact"/>
        <w:jc w:val="center"/>
        <w:rPr>
          <w:rFonts w:ascii="仿宋_GB2312" w:hAnsi="Times New Roman" w:eastAsia="仿宋_GB2312" w:cs="Times New Roman"/>
        </w:rPr>
        <w:sectPr>
          <w:headerReference r:id="rId5" w:type="first"/>
          <w:footerReference r:id="rId8" w:type="first"/>
          <w:headerReference r:id="rId3" w:type="default"/>
          <w:footerReference r:id="rId6" w:type="default"/>
          <w:headerReference r:id="rId4" w:type="even"/>
          <w:footerReference r:id="rId7" w:type="even"/>
          <w:pgSz w:w="11906" w:h="16838"/>
          <w:pgMar w:top="1440" w:right="1797" w:bottom="1440" w:left="1797" w:header="851" w:footer="992" w:gutter="0"/>
          <w:pgNumType w:start="1"/>
          <w:cols w:space="720" w:num="1"/>
          <w:titlePg/>
          <w:docGrid w:type="lines" w:linePitch="312" w:charSpace="0"/>
        </w:sectPr>
      </w:pPr>
    </w:p>
    <w:p>
      <w:pPr>
        <w:pStyle w:val="3"/>
        <w:spacing w:before="0" w:after="0" w:line="600" w:lineRule="exact"/>
        <w:jc w:val="center"/>
        <w:rPr>
          <w:rFonts w:hint="eastAsia" w:ascii="仿宋_GB2312" w:hAnsi="Times New Roman" w:eastAsia="仿宋_GB2312" w:cs="Times New Roman"/>
        </w:rPr>
      </w:pPr>
    </w:p>
    <w:p>
      <w:pPr>
        <w:jc w:val="center"/>
        <w:rPr>
          <w:rFonts w:hint="eastAsia"/>
          <w:b/>
          <w:sz w:val="44"/>
          <w:szCs w:val="44"/>
        </w:rPr>
      </w:pPr>
      <w:bookmarkStart w:id="0" w:name="_Toc496350970"/>
      <w:r>
        <w:rPr>
          <w:rFonts w:hint="eastAsia"/>
          <w:b/>
          <w:sz w:val="44"/>
          <w:szCs w:val="44"/>
        </w:rPr>
        <w:t>目 录</w:t>
      </w:r>
      <w:bookmarkEnd w:id="0"/>
    </w:p>
    <w:p>
      <w:pPr>
        <w:pStyle w:val="16"/>
        <w:tabs>
          <w:tab w:val="right" w:leader="dot" w:pos="8302"/>
        </w:tabs>
        <w:rPr>
          <w:rFonts w:hint="eastAsia" w:ascii="方正小标宋简体" w:hAnsi="方正小标宋简体" w:eastAsia="方正小标宋简体" w:cs="方正小标宋简体"/>
          <w:smallCaps w:val="0"/>
          <w:sz w:val="24"/>
          <w:szCs w:val="24"/>
          <w:lang/>
        </w:rPr>
      </w:pPr>
      <w:r>
        <w:rPr>
          <w:rFonts w:ascii="仿宋_GB2312" w:eastAsia="仿宋_GB2312"/>
          <w:sz w:val="48"/>
          <w:szCs w:val="48"/>
        </w:rPr>
        <w:fldChar w:fldCharType="begin"/>
      </w:r>
      <w:r>
        <w:rPr>
          <w:rFonts w:ascii="仿宋_GB2312" w:eastAsia="仿宋_GB2312"/>
          <w:sz w:val="48"/>
          <w:szCs w:val="48"/>
        </w:rPr>
        <w:instrText xml:space="preserve"> TOC \o "1-3" \h \z \u </w:instrText>
      </w:r>
      <w:r>
        <w:rPr>
          <w:rFonts w:ascii="仿宋_GB2312" w:eastAsia="仿宋_GB2312"/>
          <w:sz w:val="48"/>
          <w:szCs w:val="48"/>
        </w:rPr>
        <w:fldChar w:fldCharType="separate"/>
      </w:r>
    </w:p>
    <w:p>
      <w:pPr>
        <w:pStyle w:val="16"/>
        <w:tabs>
          <w:tab w:val="right" w:leader="dot" w:pos="8302"/>
        </w:tabs>
        <w:rPr>
          <w:rFonts w:hint="eastAsia" w:ascii="方正小标宋简体" w:hAnsi="方正小标宋简体" w:eastAsia="方正小标宋简体" w:cs="方正小标宋简体"/>
          <w:smallCaps w:val="0"/>
          <w:sz w:val="24"/>
          <w:szCs w:val="24"/>
          <w:lang/>
        </w:rPr>
      </w:pPr>
      <w:r>
        <w:rPr>
          <w:rFonts w:hint="eastAsia" w:ascii="方正小标宋简体" w:hAnsi="方正小标宋简体" w:eastAsia="方正小标宋简体" w:cs="方正小标宋简体"/>
          <w:sz w:val="24"/>
          <w:szCs w:val="24"/>
          <w:lang/>
        </w:rPr>
        <w:fldChar w:fldCharType="begin"/>
      </w:r>
      <w:r>
        <w:rPr>
          <w:rStyle w:val="24"/>
          <w:rFonts w:hint="eastAsia" w:ascii="方正小标宋简体" w:hAnsi="方正小标宋简体" w:eastAsia="方正小标宋简体" w:cs="方正小标宋简体"/>
          <w:sz w:val="24"/>
          <w:szCs w:val="24"/>
          <w:lang/>
        </w:rPr>
        <w:instrText xml:space="preserve"> </w:instrText>
      </w:r>
      <w:r>
        <w:rPr>
          <w:rFonts w:hint="eastAsia" w:ascii="方正小标宋简体" w:hAnsi="方正小标宋简体" w:eastAsia="方正小标宋简体" w:cs="方正小标宋简体"/>
          <w:sz w:val="24"/>
          <w:szCs w:val="24"/>
          <w:lang/>
        </w:rPr>
        <w:instrText xml:space="preserve">HYPERLINK \l "_Toc496351326"</w:instrText>
      </w:r>
      <w:r>
        <w:rPr>
          <w:rStyle w:val="24"/>
          <w:rFonts w:hint="eastAsia" w:ascii="方正小标宋简体" w:hAnsi="方正小标宋简体" w:eastAsia="方正小标宋简体" w:cs="方正小标宋简体"/>
          <w:sz w:val="24"/>
          <w:szCs w:val="24"/>
          <w:lang/>
        </w:rPr>
        <w:instrText xml:space="preserve"> </w:instrText>
      </w:r>
      <w:r>
        <w:rPr>
          <w:rFonts w:hint="eastAsia" w:ascii="方正小标宋简体" w:hAnsi="方正小标宋简体" w:eastAsia="方正小标宋简体" w:cs="方正小标宋简体"/>
          <w:sz w:val="24"/>
          <w:szCs w:val="24"/>
          <w:lang/>
        </w:rPr>
        <w:fldChar w:fldCharType="separate"/>
      </w:r>
      <w:r>
        <w:rPr>
          <w:rStyle w:val="24"/>
          <w:rFonts w:hint="eastAsia" w:ascii="方正小标宋简体" w:hAnsi="方正小标宋简体" w:eastAsia="方正小标宋简体" w:cs="方正小标宋简体"/>
          <w:sz w:val="24"/>
          <w:szCs w:val="24"/>
          <w:lang/>
        </w:rPr>
        <w:t>法学院本科教学质量监控管理办法</w:t>
      </w:r>
      <w:r>
        <w:rPr>
          <w:rFonts w:hint="eastAsia" w:ascii="方正小标宋简体" w:hAnsi="方正小标宋简体" w:eastAsia="方正小标宋简体" w:cs="方正小标宋简体"/>
          <w:sz w:val="24"/>
          <w:szCs w:val="24"/>
          <w:lang/>
        </w:rPr>
        <w:tab/>
      </w:r>
      <w:r>
        <w:rPr>
          <w:rFonts w:hint="eastAsia" w:ascii="方正小标宋简体" w:hAnsi="方正小标宋简体" w:eastAsia="方正小标宋简体" w:cs="方正小标宋简体"/>
          <w:sz w:val="24"/>
          <w:szCs w:val="24"/>
          <w:lang/>
        </w:rPr>
        <w:fldChar w:fldCharType="begin"/>
      </w:r>
      <w:r>
        <w:rPr>
          <w:rFonts w:hint="eastAsia" w:ascii="方正小标宋简体" w:hAnsi="方正小标宋简体" w:eastAsia="方正小标宋简体" w:cs="方正小标宋简体"/>
          <w:sz w:val="24"/>
          <w:szCs w:val="24"/>
          <w:lang/>
        </w:rPr>
        <w:instrText xml:space="preserve"> PAGEREF _Toc496351326 \h </w:instrText>
      </w:r>
      <w:r>
        <w:rPr>
          <w:rFonts w:hint="eastAsia" w:ascii="方正小标宋简体" w:hAnsi="方正小标宋简体" w:eastAsia="方正小标宋简体" w:cs="方正小标宋简体"/>
          <w:sz w:val="24"/>
          <w:szCs w:val="24"/>
          <w:lang/>
        </w:rPr>
        <w:fldChar w:fldCharType="separate"/>
      </w:r>
      <w:r>
        <w:rPr>
          <w:rFonts w:hint="eastAsia" w:ascii="方正小标宋简体" w:hAnsi="方正小标宋简体" w:eastAsia="方正小标宋简体" w:cs="方正小标宋简体"/>
          <w:sz w:val="24"/>
          <w:szCs w:val="24"/>
          <w:lang/>
        </w:rPr>
        <w:t>1</w:t>
      </w:r>
      <w:r>
        <w:rPr>
          <w:rFonts w:hint="eastAsia" w:ascii="方正小标宋简体" w:hAnsi="方正小标宋简体" w:eastAsia="方正小标宋简体" w:cs="方正小标宋简体"/>
          <w:sz w:val="24"/>
          <w:szCs w:val="24"/>
          <w:lang/>
        </w:rPr>
        <w:fldChar w:fldCharType="end"/>
      </w:r>
      <w:r>
        <w:rPr>
          <w:rFonts w:hint="eastAsia" w:ascii="方正小标宋简体" w:hAnsi="方正小标宋简体" w:eastAsia="方正小标宋简体" w:cs="方正小标宋简体"/>
          <w:sz w:val="24"/>
          <w:szCs w:val="24"/>
          <w:lang/>
        </w:rPr>
        <w:fldChar w:fldCharType="end"/>
      </w:r>
    </w:p>
    <w:p>
      <w:pPr>
        <w:pStyle w:val="16"/>
        <w:tabs>
          <w:tab w:val="right" w:leader="dot" w:pos="8302"/>
        </w:tabs>
        <w:rPr>
          <w:rFonts w:hint="eastAsia" w:ascii="方正小标宋简体" w:hAnsi="方正小标宋简体" w:eastAsia="方正小标宋简体" w:cs="方正小标宋简体"/>
          <w:smallCaps w:val="0"/>
          <w:sz w:val="24"/>
          <w:szCs w:val="24"/>
          <w:lang/>
        </w:rPr>
      </w:pPr>
      <w:r>
        <w:rPr>
          <w:rFonts w:hint="eastAsia" w:ascii="方正小标宋简体" w:hAnsi="方正小标宋简体" w:eastAsia="方正小标宋简体" w:cs="方正小标宋简体"/>
          <w:sz w:val="24"/>
          <w:szCs w:val="24"/>
          <w:lang/>
        </w:rPr>
        <w:fldChar w:fldCharType="begin"/>
      </w:r>
      <w:r>
        <w:rPr>
          <w:rStyle w:val="24"/>
          <w:rFonts w:hint="eastAsia" w:ascii="方正小标宋简体" w:hAnsi="方正小标宋简体" w:eastAsia="方正小标宋简体" w:cs="方正小标宋简体"/>
          <w:sz w:val="24"/>
          <w:szCs w:val="24"/>
          <w:lang/>
        </w:rPr>
        <w:instrText xml:space="preserve"> </w:instrText>
      </w:r>
      <w:r>
        <w:rPr>
          <w:rFonts w:hint="eastAsia" w:ascii="方正小标宋简体" w:hAnsi="方正小标宋简体" w:eastAsia="方正小标宋简体" w:cs="方正小标宋简体"/>
          <w:sz w:val="24"/>
          <w:szCs w:val="24"/>
          <w:lang/>
        </w:rPr>
        <w:instrText xml:space="preserve">HYPERLINK \l "_Toc496351334"</w:instrText>
      </w:r>
      <w:r>
        <w:rPr>
          <w:rStyle w:val="24"/>
          <w:rFonts w:hint="eastAsia" w:ascii="方正小标宋简体" w:hAnsi="方正小标宋简体" w:eastAsia="方正小标宋简体" w:cs="方正小标宋简体"/>
          <w:sz w:val="24"/>
          <w:szCs w:val="24"/>
          <w:lang/>
        </w:rPr>
        <w:instrText xml:space="preserve"> </w:instrText>
      </w:r>
      <w:r>
        <w:rPr>
          <w:rFonts w:hint="eastAsia" w:ascii="方正小标宋简体" w:hAnsi="方正小标宋简体" w:eastAsia="方正小标宋简体" w:cs="方正小标宋简体"/>
          <w:sz w:val="24"/>
          <w:szCs w:val="24"/>
          <w:lang/>
        </w:rPr>
        <w:fldChar w:fldCharType="separate"/>
      </w:r>
      <w:r>
        <w:rPr>
          <w:rStyle w:val="24"/>
          <w:rFonts w:hint="eastAsia" w:ascii="方正小标宋简体" w:hAnsi="方正小标宋简体" w:eastAsia="方正小标宋简体" w:cs="方正小标宋简体"/>
          <w:sz w:val="24"/>
          <w:szCs w:val="24"/>
          <w:lang/>
        </w:rPr>
        <w:t>法学院本科教学质量内部保障办法</w:t>
      </w:r>
      <w:r>
        <w:rPr>
          <w:rFonts w:hint="eastAsia" w:ascii="方正小标宋简体" w:hAnsi="方正小标宋简体" w:eastAsia="方正小标宋简体" w:cs="方正小标宋简体"/>
          <w:sz w:val="24"/>
          <w:szCs w:val="24"/>
          <w:lang/>
        </w:rPr>
        <w:tab/>
      </w:r>
      <w:r>
        <w:rPr>
          <w:rFonts w:hint="eastAsia" w:ascii="方正小标宋简体" w:hAnsi="方正小标宋简体" w:eastAsia="方正小标宋简体" w:cs="方正小标宋简体"/>
          <w:sz w:val="24"/>
          <w:szCs w:val="24"/>
          <w:lang/>
        </w:rPr>
        <w:fldChar w:fldCharType="begin"/>
      </w:r>
      <w:r>
        <w:rPr>
          <w:rFonts w:hint="eastAsia" w:ascii="方正小标宋简体" w:hAnsi="方正小标宋简体" w:eastAsia="方正小标宋简体" w:cs="方正小标宋简体"/>
          <w:sz w:val="24"/>
          <w:szCs w:val="24"/>
          <w:lang/>
        </w:rPr>
        <w:instrText xml:space="preserve"> PAGEREF _Toc496351334 \h </w:instrText>
      </w:r>
      <w:r>
        <w:rPr>
          <w:rFonts w:hint="eastAsia" w:ascii="方正小标宋简体" w:hAnsi="方正小标宋简体" w:eastAsia="方正小标宋简体" w:cs="方正小标宋简体"/>
          <w:sz w:val="24"/>
          <w:szCs w:val="24"/>
          <w:lang/>
        </w:rPr>
        <w:fldChar w:fldCharType="separate"/>
      </w:r>
      <w:r>
        <w:rPr>
          <w:rFonts w:hint="eastAsia" w:ascii="方正小标宋简体" w:hAnsi="方正小标宋简体" w:eastAsia="方正小标宋简体" w:cs="方正小标宋简体"/>
          <w:sz w:val="24"/>
          <w:szCs w:val="24"/>
          <w:lang/>
        </w:rPr>
        <w:t>8</w:t>
      </w:r>
      <w:r>
        <w:rPr>
          <w:rFonts w:hint="eastAsia" w:ascii="方正小标宋简体" w:hAnsi="方正小标宋简体" w:eastAsia="方正小标宋简体" w:cs="方正小标宋简体"/>
          <w:sz w:val="24"/>
          <w:szCs w:val="24"/>
          <w:lang/>
        </w:rPr>
        <w:fldChar w:fldCharType="end"/>
      </w:r>
      <w:r>
        <w:rPr>
          <w:rFonts w:hint="eastAsia" w:ascii="方正小标宋简体" w:hAnsi="方正小标宋简体" w:eastAsia="方正小标宋简体" w:cs="方正小标宋简体"/>
          <w:sz w:val="24"/>
          <w:szCs w:val="24"/>
          <w:lang/>
        </w:rPr>
        <w:fldChar w:fldCharType="end"/>
      </w:r>
    </w:p>
    <w:p>
      <w:pPr>
        <w:pStyle w:val="16"/>
        <w:tabs>
          <w:tab w:val="right" w:leader="dot" w:pos="8302"/>
        </w:tabs>
        <w:rPr>
          <w:rFonts w:hint="eastAsia" w:ascii="方正小标宋简体" w:hAnsi="方正小标宋简体" w:eastAsia="方正小标宋简体" w:cs="方正小标宋简体"/>
          <w:smallCaps w:val="0"/>
          <w:sz w:val="24"/>
          <w:szCs w:val="24"/>
          <w:lang/>
        </w:rPr>
      </w:pPr>
      <w:r>
        <w:rPr>
          <w:rFonts w:hint="eastAsia" w:ascii="方正小标宋简体" w:hAnsi="方正小标宋简体" w:eastAsia="方正小标宋简体" w:cs="方正小标宋简体"/>
          <w:sz w:val="24"/>
          <w:szCs w:val="24"/>
          <w:lang/>
        </w:rPr>
        <w:fldChar w:fldCharType="begin"/>
      </w:r>
      <w:r>
        <w:rPr>
          <w:rStyle w:val="24"/>
          <w:rFonts w:hint="eastAsia" w:ascii="方正小标宋简体" w:hAnsi="方正小标宋简体" w:eastAsia="方正小标宋简体" w:cs="方正小标宋简体"/>
          <w:sz w:val="24"/>
          <w:szCs w:val="24"/>
          <w:lang/>
        </w:rPr>
        <w:instrText xml:space="preserve"> </w:instrText>
      </w:r>
      <w:r>
        <w:rPr>
          <w:rFonts w:hint="eastAsia" w:ascii="方正小标宋简体" w:hAnsi="方正小标宋简体" w:eastAsia="方正小标宋简体" w:cs="方正小标宋简体"/>
          <w:sz w:val="24"/>
          <w:szCs w:val="24"/>
          <w:lang/>
        </w:rPr>
        <w:instrText xml:space="preserve">HYPERLINK \l "_Toc496351341"</w:instrText>
      </w:r>
      <w:r>
        <w:rPr>
          <w:rStyle w:val="24"/>
          <w:rFonts w:hint="eastAsia" w:ascii="方正小标宋简体" w:hAnsi="方正小标宋简体" w:eastAsia="方正小标宋简体" w:cs="方正小标宋简体"/>
          <w:sz w:val="24"/>
          <w:szCs w:val="24"/>
          <w:lang/>
        </w:rPr>
        <w:instrText xml:space="preserve"> </w:instrText>
      </w:r>
      <w:r>
        <w:rPr>
          <w:rFonts w:hint="eastAsia" w:ascii="方正小标宋简体" w:hAnsi="方正小标宋简体" w:eastAsia="方正小标宋简体" w:cs="方正小标宋简体"/>
          <w:sz w:val="24"/>
          <w:szCs w:val="24"/>
          <w:lang/>
        </w:rPr>
        <w:fldChar w:fldCharType="separate"/>
      </w:r>
      <w:r>
        <w:rPr>
          <w:rStyle w:val="24"/>
          <w:rFonts w:hint="eastAsia" w:ascii="方正小标宋简体" w:hAnsi="方正小标宋简体" w:eastAsia="方正小标宋简体" w:cs="方正小标宋简体"/>
          <w:sz w:val="24"/>
          <w:szCs w:val="24"/>
          <w:lang/>
        </w:rPr>
        <w:t>法学院教学研究项目立项及其管理办法</w:t>
      </w:r>
      <w:r>
        <w:rPr>
          <w:rFonts w:hint="eastAsia" w:ascii="方正小标宋简体" w:hAnsi="方正小标宋简体" w:eastAsia="方正小标宋简体" w:cs="方正小标宋简体"/>
          <w:sz w:val="24"/>
          <w:szCs w:val="24"/>
          <w:lang/>
        </w:rPr>
        <w:tab/>
      </w:r>
      <w:r>
        <w:rPr>
          <w:rFonts w:hint="eastAsia" w:ascii="方正小标宋简体" w:hAnsi="方正小标宋简体" w:eastAsia="方正小标宋简体" w:cs="方正小标宋简体"/>
          <w:sz w:val="24"/>
          <w:szCs w:val="24"/>
          <w:lang/>
        </w:rPr>
        <w:fldChar w:fldCharType="begin"/>
      </w:r>
      <w:r>
        <w:rPr>
          <w:rFonts w:hint="eastAsia" w:ascii="方正小标宋简体" w:hAnsi="方正小标宋简体" w:eastAsia="方正小标宋简体" w:cs="方正小标宋简体"/>
          <w:sz w:val="24"/>
          <w:szCs w:val="24"/>
          <w:lang/>
        </w:rPr>
        <w:instrText xml:space="preserve"> PAGEREF _Toc496351341 \h </w:instrText>
      </w:r>
      <w:r>
        <w:rPr>
          <w:rFonts w:hint="eastAsia" w:ascii="方正小标宋简体" w:hAnsi="方正小标宋简体" w:eastAsia="方正小标宋简体" w:cs="方正小标宋简体"/>
          <w:sz w:val="24"/>
          <w:szCs w:val="24"/>
          <w:lang/>
        </w:rPr>
        <w:fldChar w:fldCharType="separate"/>
      </w:r>
      <w:r>
        <w:rPr>
          <w:rFonts w:hint="eastAsia" w:ascii="方正小标宋简体" w:hAnsi="方正小标宋简体" w:eastAsia="方正小标宋简体" w:cs="方正小标宋简体"/>
          <w:sz w:val="24"/>
          <w:szCs w:val="24"/>
          <w:lang/>
        </w:rPr>
        <w:t>12</w:t>
      </w:r>
      <w:r>
        <w:rPr>
          <w:rFonts w:hint="eastAsia" w:ascii="方正小标宋简体" w:hAnsi="方正小标宋简体" w:eastAsia="方正小标宋简体" w:cs="方正小标宋简体"/>
          <w:sz w:val="24"/>
          <w:szCs w:val="24"/>
          <w:lang/>
        </w:rPr>
        <w:fldChar w:fldCharType="end"/>
      </w:r>
      <w:r>
        <w:rPr>
          <w:rFonts w:hint="eastAsia" w:ascii="方正小标宋简体" w:hAnsi="方正小标宋简体" w:eastAsia="方正小标宋简体" w:cs="方正小标宋简体"/>
          <w:sz w:val="24"/>
          <w:szCs w:val="24"/>
          <w:lang/>
        </w:rPr>
        <w:fldChar w:fldCharType="end"/>
      </w:r>
    </w:p>
    <w:p>
      <w:pPr>
        <w:pStyle w:val="16"/>
        <w:tabs>
          <w:tab w:val="right" w:leader="dot" w:pos="8302"/>
        </w:tabs>
        <w:rPr>
          <w:rFonts w:hint="eastAsia" w:ascii="方正小标宋简体" w:hAnsi="方正小标宋简体" w:eastAsia="方正小标宋简体" w:cs="方正小标宋简体"/>
          <w:smallCaps w:val="0"/>
          <w:sz w:val="24"/>
          <w:szCs w:val="24"/>
          <w:lang/>
        </w:rPr>
      </w:pPr>
      <w:r>
        <w:rPr>
          <w:rFonts w:hint="eastAsia" w:ascii="方正小标宋简体" w:hAnsi="方正小标宋简体" w:eastAsia="方正小标宋简体" w:cs="方正小标宋简体"/>
          <w:sz w:val="24"/>
          <w:szCs w:val="24"/>
          <w:lang/>
        </w:rPr>
        <w:fldChar w:fldCharType="begin"/>
      </w:r>
      <w:r>
        <w:rPr>
          <w:rStyle w:val="24"/>
          <w:rFonts w:hint="eastAsia" w:ascii="方正小标宋简体" w:hAnsi="方正小标宋简体" w:eastAsia="方正小标宋简体" w:cs="方正小标宋简体"/>
          <w:sz w:val="24"/>
          <w:szCs w:val="24"/>
          <w:lang/>
        </w:rPr>
        <w:instrText xml:space="preserve"> </w:instrText>
      </w:r>
      <w:r>
        <w:rPr>
          <w:rFonts w:hint="eastAsia" w:ascii="方正小标宋简体" w:hAnsi="方正小标宋简体" w:eastAsia="方正小标宋简体" w:cs="方正小标宋简体"/>
          <w:sz w:val="24"/>
          <w:szCs w:val="24"/>
          <w:lang/>
        </w:rPr>
        <w:instrText xml:space="preserve">HYPERLINK \l "_Toc496351342"</w:instrText>
      </w:r>
      <w:r>
        <w:rPr>
          <w:rStyle w:val="24"/>
          <w:rFonts w:hint="eastAsia" w:ascii="方正小标宋简体" w:hAnsi="方正小标宋简体" w:eastAsia="方正小标宋简体" w:cs="方正小标宋简体"/>
          <w:sz w:val="24"/>
          <w:szCs w:val="24"/>
          <w:lang/>
        </w:rPr>
        <w:instrText xml:space="preserve"> </w:instrText>
      </w:r>
      <w:r>
        <w:rPr>
          <w:rFonts w:hint="eastAsia" w:ascii="方正小标宋简体" w:hAnsi="方正小标宋简体" w:eastAsia="方正小标宋简体" w:cs="方正小标宋简体"/>
          <w:sz w:val="24"/>
          <w:szCs w:val="24"/>
          <w:lang/>
        </w:rPr>
        <w:fldChar w:fldCharType="separate"/>
      </w:r>
      <w:r>
        <w:rPr>
          <w:rStyle w:val="24"/>
          <w:rFonts w:hint="eastAsia" w:ascii="方正小标宋简体" w:hAnsi="方正小标宋简体" w:eastAsia="方正小标宋简体" w:cs="方正小标宋简体"/>
          <w:sz w:val="24"/>
          <w:szCs w:val="24"/>
          <w:lang/>
        </w:rPr>
        <w:t>法学院教学督导工作规定</w:t>
      </w:r>
      <w:r>
        <w:rPr>
          <w:rFonts w:hint="eastAsia" w:ascii="方正小标宋简体" w:hAnsi="方正小标宋简体" w:eastAsia="方正小标宋简体" w:cs="方正小标宋简体"/>
          <w:sz w:val="24"/>
          <w:szCs w:val="24"/>
          <w:lang/>
        </w:rPr>
        <w:tab/>
      </w:r>
      <w:r>
        <w:rPr>
          <w:rFonts w:hint="eastAsia" w:ascii="方正小标宋简体" w:hAnsi="方正小标宋简体" w:eastAsia="方正小标宋简体" w:cs="方正小标宋简体"/>
          <w:sz w:val="24"/>
          <w:szCs w:val="24"/>
          <w:lang/>
        </w:rPr>
        <w:fldChar w:fldCharType="begin"/>
      </w:r>
      <w:r>
        <w:rPr>
          <w:rFonts w:hint="eastAsia" w:ascii="方正小标宋简体" w:hAnsi="方正小标宋简体" w:eastAsia="方正小标宋简体" w:cs="方正小标宋简体"/>
          <w:sz w:val="24"/>
          <w:szCs w:val="24"/>
          <w:lang/>
        </w:rPr>
        <w:instrText xml:space="preserve"> PAGEREF _Toc496351342 \h </w:instrText>
      </w:r>
      <w:r>
        <w:rPr>
          <w:rFonts w:hint="eastAsia" w:ascii="方正小标宋简体" w:hAnsi="方正小标宋简体" w:eastAsia="方正小标宋简体" w:cs="方正小标宋简体"/>
          <w:sz w:val="24"/>
          <w:szCs w:val="24"/>
          <w:lang/>
        </w:rPr>
        <w:fldChar w:fldCharType="separate"/>
      </w:r>
      <w:r>
        <w:rPr>
          <w:rFonts w:hint="eastAsia" w:ascii="方正小标宋简体" w:hAnsi="方正小标宋简体" w:eastAsia="方正小标宋简体" w:cs="方正小标宋简体"/>
          <w:sz w:val="24"/>
          <w:szCs w:val="24"/>
          <w:lang/>
        </w:rPr>
        <w:t>15</w:t>
      </w:r>
      <w:r>
        <w:rPr>
          <w:rFonts w:hint="eastAsia" w:ascii="方正小标宋简体" w:hAnsi="方正小标宋简体" w:eastAsia="方正小标宋简体" w:cs="方正小标宋简体"/>
          <w:sz w:val="24"/>
          <w:szCs w:val="24"/>
          <w:lang/>
        </w:rPr>
        <w:fldChar w:fldCharType="end"/>
      </w:r>
      <w:r>
        <w:rPr>
          <w:rFonts w:hint="eastAsia" w:ascii="方正小标宋简体" w:hAnsi="方正小标宋简体" w:eastAsia="方正小标宋简体" w:cs="方正小标宋简体"/>
          <w:sz w:val="24"/>
          <w:szCs w:val="24"/>
          <w:lang/>
        </w:rPr>
        <w:fldChar w:fldCharType="end"/>
      </w:r>
    </w:p>
    <w:p>
      <w:pPr>
        <w:pStyle w:val="16"/>
        <w:tabs>
          <w:tab w:val="right" w:leader="dot" w:pos="8302"/>
        </w:tabs>
        <w:rPr>
          <w:rFonts w:hint="eastAsia" w:ascii="方正小标宋简体" w:hAnsi="方正小标宋简体" w:eastAsia="方正小标宋简体" w:cs="方正小标宋简体"/>
          <w:smallCaps w:val="0"/>
          <w:sz w:val="24"/>
          <w:szCs w:val="24"/>
          <w:lang/>
        </w:rPr>
      </w:pPr>
      <w:r>
        <w:rPr>
          <w:rFonts w:hint="eastAsia" w:ascii="方正小标宋简体" w:hAnsi="方正小标宋简体" w:eastAsia="方正小标宋简体" w:cs="方正小标宋简体"/>
          <w:sz w:val="24"/>
          <w:szCs w:val="24"/>
          <w:lang/>
        </w:rPr>
        <w:fldChar w:fldCharType="begin"/>
      </w:r>
      <w:r>
        <w:rPr>
          <w:rStyle w:val="24"/>
          <w:rFonts w:hint="eastAsia" w:ascii="方正小标宋简体" w:hAnsi="方正小标宋简体" w:eastAsia="方正小标宋简体" w:cs="方正小标宋简体"/>
          <w:sz w:val="24"/>
          <w:szCs w:val="24"/>
          <w:lang/>
        </w:rPr>
        <w:instrText xml:space="preserve"> </w:instrText>
      </w:r>
      <w:r>
        <w:rPr>
          <w:rFonts w:hint="eastAsia" w:ascii="方正小标宋简体" w:hAnsi="方正小标宋简体" w:eastAsia="方正小标宋简体" w:cs="方正小标宋简体"/>
          <w:sz w:val="24"/>
          <w:szCs w:val="24"/>
          <w:lang/>
        </w:rPr>
        <w:instrText xml:space="preserve">HYPERLINK \l "_Toc496351351"</w:instrText>
      </w:r>
      <w:r>
        <w:rPr>
          <w:rStyle w:val="24"/>
          <w:rFonts w:hint="eastAsia" w:ascii="方正小标宋简体" w:hAnsi="方正小标宋简体" w:eastAsia="方正小标宋简体" w:cs="方正小标宋简体"/>
          <w:sz w:val="24"/>
          <w:szCs w:val="24"/>
          <w:lang/>
        </w:rPr>
        <w:instrText xml:space="preserve"> </w:instrText>
      </w:r>
      <w:r>
        <w:rPr>
          <w:rFonts w:hint="eastAsia" w:ascii="方正小标宋简体" w:hAnsi="方正小标宋简体" w:eastAsia="方正小标宋简体" w:cs="方正小标宋简体"/>
          <w:sz w:val="24"/>
          <w:szCs w:val="24"/>
          <w:lang/>
        </w:rPr>
        <w:fldChar w:fldCharType="separate"/>
      </w:r>
      <w:r>
        <w:rPr>
          <w:rStyle w:val="24"/>
          <w:rFonts w:hint="eastAsia" w:ascii="方正小标宋简体" w:hAnsi="方正小标宋简体" w:eastAsia="方正小标宋简体" w:cs="方正小标宋简体"/>
          <w:sz w:val="24"/>
          <w:szCs w:val="24"/>
          <w:lang/>
        </w:rPr>
        <w:t>法学院青年教师培养方案</w:t>
      </w:r>
      <w:r>
        <w:rPr>
          <w:rFonts w:hint="eastAsia" w:ascii="方正小标宋简体" w:hAnsi="方正小标宋简体" w:eastAsia="方正小标宋简体" w:cs="方正小标宋简体"/>
          <w:sz w:val="24"/>
          <w:szCs w:val="24"/>
          <w:lang/>
        </w:rPr>
        <w:tab/>
      </w:r>
      <w:r>
        <w:rPr>
          <w:rFonts w:hint="eastAsia" w:ascii="方正小标宋简体" w:hAnsi="方正小标宋简体" w:eastAsia="方正小标宋简体" w:cs="方正小标宋简体"/>
          <w:sz w:val="24"/>
          <w:szCs w:val="24"/>
          <w:lang/>
        </w:rPr>
        <w:fldChar w:fldCharType="begin"/>
      </w:r>
      <w:r>
        <w:rPr>
          <w:rFonts w:hint="eastAsia" w:ascii="方正小标宋简体" w:hAnsi="方正小标宋简体" w:eastAsia="方正小标宋简体" w:cs="方正小标宋简体"/>
          <w:sz w:val="24"/>
          <w:szCs w:val="24"/>
          <w:lang/>
        </w:rPr>
        <w:instrText xml:space="preserve"> PAGEREF _Toc496351351 \h </w:instrText>
      </w:r>
      <w:r>
        <w:rPr>
          <w:rFonts w:hint="eastAsia" w:ascii="方正小标宋简体" w:hAnsi="方正小标宋简体" w:eastAsia="方正小标宋简体" w:cs="方正小标宋简体"/>
          <w:sz w:val="24"/>
          <w:szCs w:val="24"/>
          <w:lang/>
        </w:rPr>
        <w:fldChar w:fldCharType="separate"/>
      </w:r>
      <w:r>
        <w:rPr>
          <w:rFonts w:hint="eastAsia" w:ascii="方正小标宋简体" w:hAnsi="方正小标宋简体" w:eastAsia="方正小标宋简体" w:cs="方正小标宋简体"/>
          <w:sz w:val="24"/>
          <w:szCs w:val="24"/>
          <w:lang/>
        </w:rPr>
        <w:t>19</w:t>
      </w:r>
      <w:r>
        <w:rPr>
          <w:rFonts w:hint="eastAsia" w:ascii="方正小标宋简体" w:hAnsi="方正小标宋简体" w:eastAsia="方正小标宋简体" w:cs="方正小标宋简体"/>
          <w:sz w:val="24"/>
          <w:szCs w:val="24"/>
          <w:lang/>
        </w:rPr>
        <w:fldChar w:fldCharType="end"/>
      </w:r>
      <w:r>
        <w:rPr>
          <w:rFonts w:hint="eastAsia" w:ascii="方正小标宋简体" w:hAnsi="方正小标宋简体" w:eastAsia="方正小标宋简体" w:cs="方正小标宋简体"/>
          <w:sz w:val="24"/>
          <w:szCs w:val="24"/>
          <w:lang/>
        </w:rPr>
        <w:fldChar w:fldCharType="end"/>
      </w:r>
    </w:p>
    <w:p>
      <w:pPr>
        <w:pStyle w:val="16"/>
        <w:tabs>
          <w:tab w:val="right" w:leader="dot" w:pos="8302"/>
        </w:tabs>
        <w:rPr>
          <w:rFonts w:hint="eastAsia" w:ascii="方正小标宋简体" w:hAnsi="方正小标宋简体" w:eastAsia="方正小标宋简体" w:cs="方正小标宋简体"/>
          <w:smallCaps w:val="0"/>
          <w:sz w:val="24"/>
          <w:szCs w:val="24"/>
          <w:lang/>
        </w:rPr>
      </w:pPr>
      <w:r>
        <w:rPr>
          <w:rFonts w:hint="eastAsia" w:ascii="方正小标宋简体" w:hAnsi="方正小标宋简体" w:eastAsia="方正小标宋简体" w:cs="方正小标宋简体"/>
          <w:sz w:val="24"/>
          <w:szCs w:val="24"/>
          <w:lang/>
        </w:rPr>
        <w:fldChar w:fldCharType="begin"/>
      </w:r>
      <w:r>
        <w:rPr>
          <w:rStyle w:val="24"/>
          <w:rFonts w:hint="eastAsia" w:ascii="方正小标宋简体" w:hAnsi="方正小标宋简体" w:eastAsia="方正小标宋简体" w:cs="方正小标宋简体"/>
          <w:sz w:val="24"/>
          <w:szCs w:val="24"/>
          <w:lang/>
        </w:rPr>
        <w:instrText xml:space="preserve"> </w:instrText>
      </w:r>
      <w:r>
        <w:rPr>
          <w:rFonts w:hint="eastAsia" w:ascii="方正小标宋简体" w:hAnsi="方正小标宋简体" w:eastAsia="方正小标宋简体" w:cs="方正小标宋简体"/>
          <w:sz w:val="24"/>
          <w:szCs w:val="24"/>
          <w:lang/>
        </w:rPr>
        <w:instrText xml:space="preserve">HYPERLINK \l "_Toc496351355"</w:instrText>
      </w:r>
      <w:r>
        <w:rPr>
          <w:rStyle w:val="24"/>
          <w:rFonts w:hint="eastAsia" w:ascii="方正小标宋简体" w:hAnsi="方正小标宋简体" w:eastAsia="方正小标宋简体" w:cs="方正小标宋简体"/>
          <w:sz w:val="24"/>
          <w:szCs w:val="24"/>
          <w:lang/>
        </w:rPr>
        <w:instrText xml:space="preserve"> </w:instrText>
      </w:r>
      <w:r>
        <w:rPr>
          <w:rFonts w:hint="eastAsia" w:ascii="方正小标宋简体" w:hAnsi="方正小标宋简体" w:eastAsia="方正小标宋简体" w:cs="方正小标宋简体"/>
          <w:sz w:val="24"/>
          <w:szCs w:val="24"/>
          <w:lang/>
        </w:rPr>
        <w:fldChar w:fldCharType="separate"/>
      </w:r>
      <w:r>
        <w:rPr>
          <w:rStyle w:val="24"/>
          <w:rFonts w:hint="eastAsia" w:ascii="方正小标宋简体" w:hAnsi="方正小标宋简体" w:eastAsia="方正小标宋简体" w:cs="方正小标宋简体"/>
          <w:sz w:val="24"/>
          <w:szCs w:val="24"/>
          <w:lang/>
        </w:rPr>
        <w:t>法学院青年教师导师制实施办法</w:t>
      </w:r>
      <w:r>
        <w:rPr>
          <w:rFonts w:hint="eastAsia" w:ascii="方正小标宋简体" w:hAnsi="方正小标宋简体" w:eastAsia="方正小标宋简体" w:cs="方正小标宋简体"/>
          <w:sz w:val="24"/>
          <w:szCs w:val="24"/>
          <w:lang/>
        </w:rPr>
        <w:tab/>
      </w:r>
      <w:r>
        <w:rPr>
          <w:rFonts w:hint="eastAsia" w:ascii="方正小标宋简体" w:hAnsi="方正小标宋简体" w:eastAsia="方正小标宋简体" w:cs="方正小标宋简体"/>
          <w:sz w:val="24"/>
          <w:szCs w:val="24"/>
          <w:lang/>
        </w:rPr>
        <w:fldChar w:fldCharType="begin"/>
      </w:r>
      <w:r>
        <w:rPr>
          <w:rFonts w:hint="eastAsia" w:ascii="方正小标宋简体" w:hAnsi="方正小标宋简体" w:eastAsia="方正小标宋简体" w:cs="方正小标宋简体"/>
          <w:sz w:val="24"/>
          <w:szCs w:val="24"/>
          <w:lang/>
        </w:rPr>
        <w:instrText xml:space="preserve"> PAGEREF _Toc496351355 \h </w:instrText>
      </w:r>
      <w:r>
        <w:rPr>
          <w:rFonts w:hint="eastAsia" w:ascii="方正小标宋简体" w:hAnsi="方正小标宋简体" w:eastAsia="方正小标宋简体" w:cs="方正小标宋简体"/>
          <w:sz w:val="24"/>
          <w:szCs w:val="24"/>
          <w:lang/>
        </w:rPr>
        <w:fldChar w:fldCharType="separate"/>
      </w:r>
      <w:r>
        <w:rPr>
          <w:rFonts w:hint="eastAsia" w:ascii="方正小标宋简体" w:hAnsi="方正小标宋简体" w:eastAsia="方正小标宋简体" w:cs="方正小标宋简体"/>
          <w:sz w:val="24"/>
          <w:szCs w:val="24"/>
          <w:lang/>
        </w:rPr>
        <w:t>22</w:t>
      </w:r>
      <w:r>
        <w:rPr>
          <w:rFonts w:hint="eastAsia" w:ascii="方正小标宋简体" w:hAnsi="方正小标宋简体" w:eastAsia="方正小标宋简体" w:cs="方正小标宋简体"/>
          <w:sz w:val="24"/>
          <w:szCs w:val="24"/>
          <w:lang/>
        </w:rPr>
        <w:fldChar w:fldCharType="end"/>
      </w:r>
      <w:r>
        <w:rPr>
          <w:rFonts w:hint="eastAsia" w:ascii="方正小标宋简体" w:hAnsi="方正小标宋简体" w:eastAsia="方正小标宋简体" w:cs="方正小标宋简体"/>
          <w:sz w:val="24"/>
          <w:szCs w:val="24"/>
          <w:lang/>
        </w:rPr>
        <w:fldChar w:fldCharType="end"/>
      </w:r>
    </w:p>
    <w:p>
      <w:pPr>
        <w:pStyle w:val="16"/>
        <w:tabs>
          <w:tab w:val="right" w:leader="dot" w:pos="8302"/>
        </w:tabs>
        <w:rPr>
          <w:rFonts w:hint="eastAsia" w:ascii="方正小标宋简体" w:hAnsi="方正小标宋简体" w:eastAsia="方正小标宋简体" w:cs="方正小标宋简体"/>
          <w:smallCaps w:val="0"/>
          <w:sz w:val="24"/>
          <w:szCs w:val="24"/>
          <w:lang/>
        </w:rPr>
      </w:pPr>
      <w:r>
        <w:rPr>
          <w:rFonts w:hint="eastAsia" w:ascii="方正小标宋简体" w:hAnsi="方正小标宋简体" w:eastAsia="方正小标宋简体" w:cs="方正小标宋简体"/>
          <w:sz w:val="24"/>
          <w:szCs w:val="24"/>
          <w:lang/>
        </w:rPr>
        <w:fldChar w:fldCharType="begin"/>
      </w:r>
      <w:r>
        <w:rPr>
          <w:rStyle w:val="24"/>
          <w:rFonts w:hint="eastAsia" w:ascii="方正小标宋简体" w:hAnsi="方正小标宋简体" w:eastAsia="方正小标宋简体" w:cs="方正小标宋简体"/>
          <w:sz w:val="24"/>
          <w:szCs w:val="24"/>
          <w:lang/>
        </w:rPr>
        <w:instrText xml:space="preserve"> </w:instrText>
      </w:r>
      <w:r>
        <w:rPr>
          <w:rFonts w:hint="eastAsia" w:ascii="方正小标宋简体" w:hAnsi="方正小标宋简体" w:eastAsia="方正小标宋简体" w:cs="方正小标宋简体"/>
          <w:sz w:val="24"/>
          <w:szCs w:val="24"/>
          <w:lang/>
        </w:rPr>
        <w:instrText xml:space="preserve">HYPERLINK \l "_Toc496351356"</w:instrText>
      </w:r>
      <w:r>
        <w:rPr>
          <w:rStyle w:val="24"/>
          <w:rFonts w:hint="eastAsia" w:ascii="方正小标宋简体" w:hAnsi="方正小标宋简体" w:eastAsia="方正小标宋简体" w:cs="方正小标宋简体"/>
          <w:sz w:val="24"/>
          <w:szCs w:val="24"/>
          <w:lang/>
        </w:rPr>
        <w:instrText xml:space="preserve"> </w:instrText>
      </w:r>
      <w:r>
        <w:rPr>
          <w:rFonts w:hint="eastAsia" w:ascii="方正小标宋简体" w:hAnsi="方正小标宋简体" w:eastAsia="方正小标宋简体" w:cs="方正小标宋简体"/>
          <w:sz w:val="24"/>
          <w:szCs w:val="24"/>
          <w:lang/>
        </w:rPr>
        <w:fldChar w:fldCharType="separate"/>
      </w:r>
      <w:r>
        <w:rPr>
          <w:rStyle w:val="24"/>
          <w:rFonts w:hint="eastAsia" w:ascii="方正小标宋简体" w:hAnsi="方正小标宋简体" w:eastAsia="方正小标宋简体" w:cs="方正小标宋简体"/>
          <w:sz w:val="24"/>
          <w:szCs w:val="24"/>
          <w:lang/>
        </w:rPr>
        <w:t>法学院青年教师教学技能大赛实施方案</w:t>
      </w:r>
      <w:r>
        <w:rPr>
          <w:rFonts w:hint="eastAsia" w:ascii="方正小标宋简体" w:hAnsi="方正小标宋简体" w:eastAsia="方正小标宋简体" w:cs="方正小标宋简体"/>
          <w:sz w:val="24"/>
          <w:szCs w:val="24"/>
          <w:lang/>
        </w:rPr>
        <w:tab/>
      </w:r>
      <w:r>
        <w:rPr>
          <w:rFonts w:hint="eastAsia" w:ascii="方正小标宋简体" w:hAnsi="方正小标宋简体" w:eastAsia="方正小标宋简体" w:cs="方正小标宋简体"/>
          <w:sz w:val="24"/>
          <w:szCs w:val="24"/>
          <w:lang/>
        </w:rPr>
        <w:fldChar w:fldCharType="begin"/>
      </w:r>
      <w:r>
        <w:rPr>
          <w:rFonts w:hint="eastAsia" w:ascii="方正小标宋简体" w:hAnsi="方正小标宋简体" w:eastAsia="方正小标宋简体" w:cs="方正小标宋简体"/>
          <w:sz w:val="24"/>
          <w:szCs w:val="24"/>
          <w:lang/>
        </w:rPr>
        <w:instrText xml:space="preserve"> PAGEREF _Toc496351356 \h </w:instrText>
      </w:r>
      <w:r>
        <w:rPr>
          <w:rFonts w:hint="eastAsia" w:ascii="方正小标宋简体" w:hAnsi="方正小标宋简体" w:eastAsia="方正小标宋简体" w:cs="方正小标宋简体"/>
          <w:sz w:val="24"/>
          <w:szCs w:val="24"/>
          <w:lang/>
        </w:rPr>
        <w:fldChar w:fldCharType="separate"/>
      </w:r>
      <w:r>
        <w:rPr>
          <w:rFonts w:hint="eastAsia" w:ascii="方正小标宋简体" w:hAnsi="方正小标宋简体" w:eastAsia="方正小标宋简体" w:cs="方正小标宋简体"/>
          <w:sz w:val="24"/>
          <w:szCs w:val="24"/>
          <w:lang/>
        </w:rPr>
        <w:t>25</w:t>
      </w:r>
      <w:r>
        <w:rPr>
          <w:rFonts w:hint="eastAsia" w:ascii="方正小标宋简体" w:hAnsi="方正小标宋简体" w:eastAsia="方正小标宋简体" w:cs="方正小标宋简体"/>
          <w:sz w:val="24"/>
          <w:szCs w:val="24"/>
          <w:lang/>
        </w:rPr>
        <w:fldChar w:fldCharType="end"/>
      </w:r>
      <w:r>
        <w:rPr>
          <w:rFonts w:hint="eastAsia" w:ascii="方正小标宋简体" w:hAnsi="方正小标宋简体" w:eastAsia="方正小标宋简体" w:cs="方正小标宋简体"/>
          <w:sz w:val="24"/>
          <w:szCs w:val="24"/>
          <w:lang/>
        </w:rPr>
        <w:fldChar w:fldCharType="end"/>
      </w:r>
    </w:p>
    <w:p>
      <w:pPr>
        <w:pStyle w:val="16"/>
        <w:tabs>
          <w:tab w:val="right" w:leader="dot" w:pos="8302"/>
        </w:tabs>
        <w:rPr>
          <w:rFonts w:hint="eastAsia" w:ascii="方正小标宋简体" w:hAnsi="方正小标宋简体" w:eastAsia="方正小标宋简体" w:cs="方正小标宋简体"/>
          <w:smallCaps w:val="0"/>
          <w:sz w:val="24"/>
          <w:szCs w:val="24"/>
          <w:lang/>
        </w:rPr>
      </w:pPr>
      <w:r>
        <w:rPr>
          <w:rFonts w:hint="eastAsia" w:ascii="方正小标宋简体" w:hAnsi="方正小标宋简体" w:eastAsia="方正小标宋简体" w:cs="方正小标宋简体"/>
          <w:sz w:val="24"/>
          <w:szCs w:val="24"/>
          <w:lang/>
        </w:rPr>
        <w:fldChar w:fldCharType="begin"/>
      </w:r>
      <w:r>
        <w:rPr>
          <w:rStyle w:val="24"/>
          <w:rFonts w:hint="eastAsia" w:ascii="方正小标宋简体" w:hAnsi="方正小标宋简体" w:eastAsia="方正小标宋简体" w:cs="方正小标宋简体"/>
          <w:sz w:val="24"/>
          <w:szCs w:val="24"/>
          <w:lang/>
        </w:rPr>
        <w:instrText xml:space="preserve"> </w:instrText>
      </w:r>
      <w:r>
        <w:rPr>
          <w:rFonts w:hint="eastAsia" w:ascii="方正小标宋简体" w:hAnsi="方正小标宋简体" w:eastAsia="方正小标宋简体" w:cs="方正小标宋简体"/>
          <w:sz w:val="24"/>
          <w:szCs w:val="24"/>
          <w:lang/>
        </w:rPr>
        <w:instrText xml:space="preserve">HYPERLINK \l "_Toc496351362"</w:instrText>
      </w:r>
      <w:r>
        <w:rPr>
          <w:rStyle w:val="24"/>
          <w:rFonts w:hint="eastAsia" w:ascii="方正小标宋简体" w:hAnsi="方正小标宋简体" w:eastAsia="方正小标宋简体" w:cs="方正小标宋简体"/>
          <w:sz w:val="24"/>
          <w:szCs w:val="24"/>
          <w:lang/>
        </w:rPr>
        <w:instrText xml:space="preserve"> </w:instrText>
      </w:r>
      <w:r>
        <w:rPr>
          <w:rFonts w:hint="eastAsia" w:ascii="方正小标宋简体" w:hAnsi="方正小标宋简体" w:eastAsia="方正小标宋简体" w:cs="方正小标宋简体"/>
          <w:sz w:val="24"/>
          <w:szCs w:val="24"/>
          <w:lang/>
        </w:rPr>
        <w:fldChar w:fldCharType="separate"/>
      </w:r>
      <w:r>
        <w:rPr>
          <w:rStyle w:val="24"/>
          <w:rFonts w:hint="eastAsia" w:ascii="方正小标宋简体" w:hAnsi="方正小标宋简体" w:eastAsia="方正小标宋简体" w:cs="方正小标宋简体"/>
          <w:sz w:val="24"/>
          <w:szCs w:val="24"/>
          <w:lang/>
        </w:rPr>
        <w:t>法学院青年教师教学技能大赛初赛规则</w:t>
      </w:r>
      <w:r>
        <w:rPr>
          <w:rFonts w:hint="eastAsia" w:ascii="方正小标宋简体" w:hAnsi="方正小标宋简体" w:eastAsia="方正小标宋简体" w:cs="方正小标宋简体"/>
          <w:sz w:val="24"/>
          <w:szCs w:val="24"/>
          <w:lang/>
        </w:rPr>
        <w:tab/>
      </w:r>
      <w:r>
        <w:rPr>
          <w:rFonts w:hint="eastAsia" w:ascii="方正小标宋简体" w:hAnsi="方正小标宋简体" w:eastAsia="方正小标宋简体" w:cs="方正小标宋简体"/>
          <w:sz w:val="24"/>
          <w:szCs w:val="24"/>
          <w:lang/>
        </w:rPr>
        <w:fldChar w:fldCharType="begin"/>
      </w:r>
      <w:r>
        <w:rPr>
          <w:rFonts w:hint="eastAsia" w:ascii="方正小标宋简体" w:hAnsi="方正小标宋简体" w:eastAsia="方正小标宋简体" w:cs="方正小标宋简体"/>
          <w:sz w:val="24"/>
          <w:szCs w:val="24"/>
          <w:lang/>
        </w:rPr>
        <w:instrText xml:space="preserve"> PAGEREF _Toc496351362 \h </w:instrText>
      </w:r>
      <w:r>
        <w:rPr>
          <w:rFonts w:hint="eastAsia" w:ascii="方正小标宋简体" w:hAnsi="方正小标宋简体" w:eastAsia="方正小标宋简体" w:cs="方正小标宋简体"/>
          <w:sz w:val="24"/>
          <w:szCs w:val="24"/>
          <w:lang/>
        </w:rPr>
        <w:fldChar w:fldCharType="separate"/>
      </w:r>
      <w:r>
        <w:rPr>
          <w:rFonts w:hint="eastAsia" w:ascii="方正小标宋简体" w:hAnsi="方正小标宋简体" w:eastAsia="方正小标宋简体" w:cs="方正小标宋简体"/>
          <w:sz w:val="24"/>
          <w:szCs w:val="24"/>
          <w:lang/>
        </w:rPr>
        <w:t>29</w:t>
      </w:r>
      <w:r>
        <w:rPr>
          <w:rFonts w:hint="eastAsia" w:ascii="方正小标宋简体" w:hAnsi="方正小标宋简体" w:eastAsia="方正小标宋简体" w:cs="方正小标宋简体"/>
          <w:sz w:val="24"/>
          <w:szCs w:val="24"/>
          <w:lang/>
        </w:rPr>
        <w:fldChar w:fldCharType="end"/>
      </w:r>
      <w:r>
        <w:rPr>
          <w:rFonts w:hint="eastAsia" w:ascii="方正小标宋简体" w:hAnsi="方正小标宋简体" w:eastAsia="方正小标宋简体" w:cs="方正小标宋简体"/>
          <w:sz w:val="24"/>
          <w:szCs w:val="24"/>
          <w:lang/>
        </w:rPr>
        <w:fldChar w:fldCharType="end"/>
      </w:r>
    </w:p>
    <w:p>
      <w:pPr>
        <w:pStyle w:val="16"/>
        <w:tabs>
          <w:tab w:val="right" w:leader="dot" w:pos="8302"/>
        </w:tabs>
        <w:rPr>
          <w:rFonts w:hint="eastAsia" w:ascii="方正小标宋简体" w:hAnsi="方正小标宋简体" w:eastAsia="方正小标宋简体" w:cs="方正小标宋简体"/>
          <w:smallCaps w:val="0"/>
          <w:sz w:val="24"/>
          <w:szCs w:val="24"/>
          <w:lang/>
        </w:rPr>
      </w:pPr>
      <w:r>
        <w:rPr>
          <w:rFonts w:hint="eastAsia" w:ascii="方正小标宋简体" w:hAnsi="方正小标宋简体" w:eastAsia="方正小标宋简体" w:cs="方正小标宋简体"/>
          <w:sz w:val="24"/>
          <w:szCs w:val="24"/>
          <w:lang/>
        </w:rPr>
        <w:fldChar w:fldCharType="begin"/>
      </w:r>
      <w:r>
        <w:rPr>
          <w:rStyle w:val="24"/>
          <w:rFonts w:hint="eastAsia" w:ascii="方正小标宋简体" w:hAnsi="方正小标宋简体" w:eastAsia="方正小标宋简体" w:cs="方正小标宋简体"/>
          <w:sz w:val="24"/>
          <w:szCs w:val="24"/>
          <w:lang/>
        </w:rPr>
        <w:instrText xml:space="preserve"> </w:instrText>
      </w:r>
      <w:r>
        <w:rPr>
          <w:rFonts w:hint="eastAsia" w:ascii="方正小标宋简体" w:hAnsi="方正小标宋简体" w:eastAsia="方正小标宋简体" w:cs="方正小标宋简体"/>
          <w:sz w:val="24"/>
          <w:szCs w:val="24"/>
          <w:lang/>
        </w:rPr>
        <w:instrText xml:space="preserve">HYPERLINK \l "_Toc496351365"</w:instrText>
      </w:r>
      <w:r>
        <w:rPr>
          <w:rStyle w:val="24"/>
          <w:rFonts w:hint="eastAsia" w:ascii="方正小标宋简体" w:hAnsi="方正小标宋简体" w:eastAsia="方正小标宋简体" w:cs="方正小标宋简体"/>
          <w:sz w:val="24"/>
          <w:szCs w:val="24"/>
          <w:lang/>
        </w:rPr>
        <w:instrText xml:space="preserve"> </w:instrText>
      </w:r>
      <w:r>
        <w:rPr>
          <w:rFonts w:hint="eastAsia" w:ascii="方正小标宋简体" w:hAnsi="方正小标宋简体" w:eastAsia="方正小标宋简体" w:cs="方正小标宋简体"/>
          <w:sz w:val="24"/>
          <w:szCs w:val="24"/>
          <w:lang/>
        </w:rPr>
        <w:fldChar w:fldCharType="separate"/>
      </w:r>
      <w:r>
        <w:rPr>
          <w:rStyle w:val="24"/>
          <w:rFonts w:hint="eastAsia" w:ascii="方正小标宋简体" w:hAnsi="方正小标宋简体" w:eastAsia="方正小标宋简体" w:cs="方正小标宋简体"/>
          <w:sz w:val="24"/>
          <w:szCs w:val="24"/>
          <w:lang/>
        </w:rPr>
        <w:t>法学院青年教师教学技能大赛院级初赛评分细则</w:t>
      </w:r>
      <w:r>
        <w:rPr>
          <w:rFonts w:hint="eastAsia" w:ascii="方正小标宋简体" w:hAnsi="方正小标宋简体" w:eastAsia="方正小标宋简体" w:cs="方正小标宋简体"/>
          <w:sz w:val="24"/>
          <w:szCs w:val="24"/>
          <w:lang/>
        </w:rPr>
        <w:tab/>
      </w:r>
      <w:r>
        <w:rPr>
          <w:rFonts w:hint="eastAsia" w:ascii="方正小标宋简体" w:hAnsi="方正小标宋简体" w:eastAsia="方正小标宋简体" w:cs="方正小标宋简体"/>
          <w:sz w:val="24"/>
          <w:szCs w:val="24"/>
          <w:lang/>
        </w:rPr>
        <w:fldChar w:fldCharType="begin"/>
      </w:r>
      <w:r>
        <w:rPr>
          <w:rFonts w:hint="eastAsia" w:ascii="方正小标宋简体" w:hAnsi="方正小标宋简体" w:eastAsia="方正小标宋简体" w:cs="方正小标宋简体"/>
          <w:sz w:val="24"/>
          <w:szCs w:val="24"/>
          <w:lang/>
        </w:rPr>
        <w:instrText xml:space="preserve"> PAGEREF _Toc496351365 \h </w:instrText>
      </w:r>
      <w:r>
        <w:rPr>
          <w:rFonts w:hint="eastAsia" w:ascii="方正小标宋简体" w:hAnsi="方正小标宋简体" w:eastAsia="方正小标宋简体" w:cs="方正小标宋简体"/>
          <w:sz w:val="24"/>
          <w:szCs w:val="24"/>
          <w:lang/>
        </w:rPr>
        <w:fldChar w:fldCharType="separate"/>
      </w:r>
      <w:r>
        <w:rPr>
          <w:rFonts w:hint="eastAsia" w:ascii="方正小标宋简体" w:hAnsi="方正小标宋简体" w:eastAsia="方正小标宋简体" w:cs="方正小标宋简体"/>
          <w:sz w:val="24"/>
          <w:szCs w:val="24"/>
          <w:lang/>
        </w:rPr>
        <w:t>31</w:t>
      </w:r>
      <w:r>
        <w:rPr>
          <w:rFonts w:hint="eastAsia" w:ascii="方正小标宋简体" w:hAnsi="方正小标宋简体" w:eastAsia="方正小标宋简体" w:cs="方正小标宋简体"/>
          <w:sz w:val="24"/>
          <w:szCs w:val="24"/>
          <w:lang/>
        </w:rPr>
        <w:fldChar w:fldCharType="end"/>
      </w:r>
      <w:r>
        <w:rPr>
          <w:rFonts w:hint="eastAsia" w:ascii="方正小标宋简体" w:hAnsi="方正小标宋简体" w:eastAsia="方正小标宋简体" w:cs="方正小标宋简体"/>
          <w:sz w:val="24"/>
          <w:szCs w:val="24"/>
          <w:lang/>
        </w:rPr>
        <w:fldChar w:fldCharType="end"/>
      </w:r>
    </w:p>
    <w:p>
      <w:pPr>
        <w:pStyle w:val="16"/>
        <w:tabs>
          <w:tab w:val="right" w:leader="dot" w:pos="8302"/>
        </w:tabs>
        <w:rPr>
          <w:rFonts w:hint="eastAsia" w:ascii="方正小标宋简体" w:hAnsi="方正小标宋简体" w:eastAsia="方正小标宋简体" w:cs="方正小标宋简体"/>
          <w:smallCaps w:val="0"/>
          <w:sz w:val="24"/>
          <w:szCs w:val="24"/>
          <w:lang/>
        </w:rPr>
      </w:pPr>
    </w:p>
    <w:p>
      <w:pPr>
        <w:pStyle w:val="16"/>
        <w:tabs>
          <w:tab w:val="right" w:leader="dot" w:pos="8302"/>
        </w:tabs>
        <w:rPr>
          <w:smallCaps w:val="0"/>
          <w:sz w:val="21"/>
          <w:szCs w:val="24"/>
          <w:lang/>
        </w:rPr>
      </w:pPr>
    </w:p>
    <w:p>
      <w:pPr>
        <w:pStyle w:val="3"/>
        <w:spacing w:before="0" w:after="0" w:line="600" w:lineRule="exact"/>
        <w:jc w:val="both"/>
        <w:rPr>
          <w:rFonts w:ascii="仿宋_GB2312" w:hAnsi="Times New Roman" w:eastAsia="仿宋_GB2312" w:cs="Times New Roman"/>
          <w:sz w:val="48"/>
          <w:szCs w:val="48"/>
        </w:rPr>
        <w:sectPr>
          <w:pgSz w:w="11906" w:h="16838"/>
          <w:pgMar w:top="1440" w:right="1797" w:bottom="1440" w:left="1797" w:header="851" w:footer="992" w:gutter="0"/>
          <w:pgNumType w:start="1"/>
          <w:cols w:space="720" w:num="1"/>
          <w:titlePg/>
          <w:docGrid w:type="lines" w:linePitch="312" w:charSpace="0"/>
        </w:sectPr>
      </w:pPr>
      <w:r>
        <w:rPr>
          <w:rFonts w:ascii="仿宋_GB2312" w:hAnsi="Times New Roman" w:eastAsia="仿宋_GB2312" w:cs="Times New Roman"/>
          <w:sz w:val="48"/>
          <w:szCs w:val="48"/>
        </w:rPr>
        <w:fldChar w:fldCharType="end"/>
      </w:r>
    </w:p>
    <w:p>
      <w:pPr>
        <w:pStyle w:val="3"/>
        <w:spacing w:line="600" w:lineRule="exact"/>
        <w:jc w:val="center"/>
        <w:rPr>
          <w:rFonts w:hint="eastAsia" w:ascii="仿宋_GB2312" w:hAnsi="Times New Roman" w:eastAsia="仿宋_GB2312" w:cs="Times New Roman"/>
          <w:b w:val="0"/>
        </w:rPr>
      </w:pPr>
      <w:bookmarkStart w:id="1" w:name="_Toc484180111"/>
    </w:p>
    <w:p>
      <w:pPr>
        <w:pStyle w:val="3"/>
        <w:spacing w:before="0" w:after="0" w:line="600" w:lineRule="exact"/>
        <w:jc w:val="center"/>
        <w:rPr>
          <w:rFonts w:hint="eastAsia" w:ascii="方正小标宋简体" w:hAnsi="Times New Roman" w:eastAsia="方正小标宋简体" w:cs="Times New Roman"/>
          <w:b w:val="0"/>
          <w:sz w:val="44"/>
          <w:szCs w:val="44"/>
        </w:rPr>
      </w:pPr>
      <w:bookmarkStart w:id="2" w:name="_Toc496351218"/>
      <w:bookmarkStart w:id="3" w:name="_Toc496351326"/>
      <w:r>
        <w:rPr>
          <w:rFonts w:hint="eastAsia" w:ascii="方正小标宋简体" w:hAnsi="Times New Roman" w:eastAsia="方正小标宋简体" w:cs="Times New Roman"/>
          <w:b w:val="0"/>
          <w:sz w:val="44"/>
          <w:szCs w:val="44"/>
        </w:rPr>
        <w:t>法学院本科教学质量监控管理办法</w:t>
      </w:r>
      <w:bookmarkEnd w:id="1"/>
      <w:bookmarkEnd w:id="2"/>
      <w:bookmarkEnd w:id="3"/>
    </w:p>
    <w:p>
      <w:pPr>
        <w:pStyle w:val="3"/>
        <w:spacing w:before="0" w:after="0" w:line="600" w:lineRule="exact"/>
        <w:jc w:val="center"/>
        <w:rPr>
          <w:rFonts w:hint="eastAsia" w:ascii="方正小标宋简体" w:eastAsia="方正小标宋简体"/>
          <w:bCs w:val="0"/>
          <w:sz w:val="44"/>
          <w:szCs w:val="44"/>
        </w:rPr>
      </w:pPr>
    </w:p>
    <w:p>
      <w:pPr>
        <w:pStyle w:val="3"/>
        <w:spacing w:before="0" w:after="0"/>
        <w:jc w:val="center"/>
        <w:rPr>
          <w:rFonts w:hint="eastAsia" w:ascii="黑体" w:eastAsia="黑体"/>
          <w:b w:val="0"/>
        </w:rPr>
      </w:pPr>
      <w:bookmarkStart w:id="4" w:name="_Toc496351327"/>
      <w:bookmarkStart w:id="5" w:name="_Toc496351219"/>
      <w:r>
        <w:rPr>
          <w:rFonts w:hint="eastAsia" w:ascii="黑体" w:eastAsia="黑体"/>
          <w:b w:val="0"/>
        </w:rPr>
        <w:t>第一章 总则</w:t>
      </w:r>
      <w:bookmarkEnd w:id="4"/>
      <w:bookmarkEnd w:id="5"/>
    </w:p>
    <w:p>
      <w:pPr>
        <w:spacing w:line="600" w:lineRule="exact"/>
        <w:ind w:firstLine="643" w:firstLineChars="200"/>
        <w:rPr>
          <w:rFonts w:hint="eastAsia" w:ascii="仿宋_GB2312" w:eastAsia="仿宋_GB2312"/>
          <w:sz w:val="32"/>
          <w:szCs w:val="32"/>
        </w:rPr>
      </w:pPr>
      <w:r>
        <w:rPr>
          <w:rFonts w:hint="eastAsia" w:ascii="仿宋_GB2312" w:hAnsi="宋体" w:eastAsia="仿宋_GB2312"/>
          <w:b/>
          <w:bCs/>
          <w:sz w:val="32"/>
          <w:szCs w:val="32"/>
        </w:rPr>
        <w:t>第一条</w:t>
      </w:r>
      <w:r>
        <w:rPr>
          <w:rFonts w:hint="eastAsia" w:ascii="仿宋_GB2312" w:eastAsia="仿宋_GB2312"/>
          <w:sz w:val="32"/>
          <w:szCs w:val="32"/>
        </w:rPr>
        <w:t xml:space="preserve"> </w:t>
      </w:r>
      <w:r>
        <w:rPr>
          <w:rFonts w:hint="eastAsia" w:ascii="仿宋_GB2312" w:hAnsi="宋体" w:eastAsia="仿宋_GB2312"/>
          <w:sz w:val="32"/>
          <w:szCs w:val="32"/>
        </w:rPr>
        <w:t>教学评价是加强教学管理和不断提高教学质量的重要手段。学院通过对教学活动运行状况实施评价、监督和诊断，将教学质量信息迅速反馈给各级教学组织，并根据反馈信息组织教师培训，建立一个有效的教学质量保障体系。为了保证教学质量监控系统科学、规范地运行，制定本办法。</w:t>
      </w:r>
    </w:p>
    <w:p>
      <w:pPr>
        <w:spacing w:line="600" w:lineRule="exact"/>
        <w:ind w:firstLine="643" w:firstLineChars="200"/>
        <w:rPr>
          <w:rFonts w:hint="eastAsia" w:ascii="仿宋_GB2312" w:eastAsia="仿宋_GB2312"/>
          <w:sz w:val="32"/>
          <w:szCs w:val="32"/>
        </w:rPr>
      </w:pPr>
      <w:r>
        <w:rPr>
          <w:rFonts w:hint="eastAsia" w:ascii="仿宋_GB2312" w:hAnsi="宋体" w:eastAsia="仿宋_GB2312"/>
          <w:b/>
          <w:bCs/>
          <w:sz w:val="32"/>
          <w:szCs w:val="32"/>
        </w:rPr>
        <w:t>第二条</w:t>
      </w:r>
      <w:r>
        <w:rPr>
          <w:rFonts w:hint="eastAsia" w:ascii="仿宋_GB2312" w:eastAsia="仿宋_GB2312"/>
          <w:sz w:val="32"/>
          <w:szCs w:val="32"/>
        </w:rPr>
        <w:t xml:space="preserve"> </w:t>
      </w:r>
      <w:r>
        <w:rPr>
          <w:rFonts w:hint="eastAsia" w:ascii="仿宋_GB2312" w:hAnsi="宋体" w:eastAsia="仿宋_GB2312"/>
          <w:sz w:val="32"/>
          <w:szCs w:val="32"/>
        </w:rPr>
        <w:t>教学评价与教师培训活动在学院党政的领导下，由教学副院长负责组织教学督导专家组实施，日常事务由教务管理人员完成。</w:t>
      </w:r>
    </w:p>
    <w:p>
      <w:pPr>
        <w:spacing w:line="600" w:lineRule="exact"/>
        <w:ind w:firstLine="643" w:firstLineChars="200"/>
        <w:rPr>
          <w:rFonts w:hint="eastAsia" w:ascii="仿宋_GB2312" w:eastAsia="仿宋_GB2312"/>
          <w:sz w:val="32"/>
          <w:szCs w:val="32"/>
        </w:rPr>
      </w:pPr>
      <w:r>
        <w:rPr>
          <w:rFonts w:hint="eastAsia" w:ascii="仿宋_GB2312" w:hAnsi="宋体" w:eastAsia="仿宋_GB2312"/>
          <w:b/>
          <w:bCs/>
          <w:sz w:val="32"/>
          <w:szCs w:val="32"/>
        </w:rPr>
        <w:t>第三条</w:t>
      </w:r>
      <w:r>
        <w:rPr>
          <w:rFonts w:hint="eastAsia" w:ascii="仿宋_GB2312" w:eastAsia="仿宋_GB2312"/>
          <w:sz w:val="32"/>
          <w:szCs w:val="32"/>
        </w:rPr>
        <w:t xml:space="preserve"> </w:t>
      </w:r>
      <w:r>
        <w:rPr>
          <w:rFonts w:hint="eastAsia" w:ascii="仿宋_GB2312" w:hAnsi="宋体" w:eastAsia="仿宋_GB2312"/>
          <w:sz w:val="32"/>
          <w:szCs w:val="32"/>
        </w:rPr>
        <w:t>教学评价由经常性教学评估和综合性教学评估两部分组成。经常性教学评估包括教学工作状态评价、专家评价、学生评价、院领导听课、同行评价、教师自我评价等；综合性教学评估是对教学工作的整体评价，一般每三年开展一次。</w:t>
      </w:r>
    </w:p>
    <w:p>
      <w:pPr>
        <w:spacing w:line="600" w:lineRule="exact"/>
        <w:ind w:firstLine="643" w:firstLineChars="200"/>
        <w:rPr>
          <w:rFonts w:hint="eastAsia" w:ascii="仿宋_GB2312" w:eastAsia="仿宋_GB2312"/>
          <w:sz w:val="32"/>
          <w:szCs w:val="32"/>
        </w:rPr>
      </w:pPr>
      <w:r>
        <w:rPr>
          <w:rFonts w:hint="eastAsia" w:ascii="仿宋_GB2312" w:hAnsi="宋体" w:eastAsia="仿宋_GB2312"/>
          <w:b/>
          <w:bCs/>
          <w:sz w:val="32"/>
          <w:szCs w:val="32"/>
        </w:rPr>
        <w:t>第四条</w:t>
      </w:r>
      <w:r>
        <w:rPr>
          <w:rFonts w:hint="eastAsia" w:ascii="仿宋_GB2312" w:eastAsia="仿宋_GB2312"/>
          <w:sz w:val="32"/>
          <w:szCs w:val="32"/>
        </w:rPr>
        <w:t xml:space="preserve"> </w:t>
      </w:r>
      <w:r>
        <w:rPr>
          <w:rFonts w:hint="eastAsia" w:ascii="仿宋_GB2312" w:hAnsi="宋体" w:eastAsia="仿宋_GB2312"/>
          <w:sz w:val="32"/>
          <w:szCs w:val="32"/>
        </w:rPr>
        <w:t>学院对教师实行</w:t>
      </w:r>
      <w:r>
        <w:rPr>
          <w:rFonts w:hint="eastAsia" w:ascii="仿宋_GB2312" w:eastAsia="仿宋_GB2312"/>
          <w:sz w:val="32"/>
          <w:szCs w:val="32"/>
        </w:rPr>
        <w:t>“</w:t>
      </w:r>
      <w:r>
        <w:rPr>
          <w:rFonts w:hint="eastAsia" w:ascii="仿宋_GB2312" w:hAnsi="宋体" w:eastAsia="仿宋_GB2312"/>
          <w:sz w:val="32"/>
          <w:szCs w:val="32"/>
        </w:rPr>
        <w:t>预讲</w:t>
      </w:r>
      <w:r>
        <w:rPr>
          <w:rFonts w:hint="eastAsia" w:ascii="仿宋_GB2312" w:eastAsia="仿宋_GB2312"/>
          <w:sz w:val="32"/>
          <w:szCs w:val="32"/>
        </w:rPr>
        <w:t>”</w:t>
      </w:r>
      <w:r>
        <w:rPr>
          <w:rFonts w:hint="eastAsia" w:ascii="仿宋_GB2312" w:hAnsi="宋体" w:eastAsia="仿宋_GB2312"/>
          <w:sz w:val="32"/>
          <w:szCs w:val="32"/>
        </w:rPr>
        <w:t>制度。新开课的教师在接受了学校组织的高等教育法规、高等教育学、高等教育心理学、高等学校教师职业道德和教学方法培训，经过教学督导专家组考察认为达到授课要求后可获得授课资格。</w:t>
      </w:r>
    </w:p>
    <w:p>
      <w:pPr>
        <w:spacing w:line="600" w:lineRule="exact"/>
        <w:ind w:firstLine="643" w:firstLineChars="200"/>
        <w:rPr>
          <w:rFonts w:hint="eastAsia" w:ascii="仿宋_GB2312" w:eastAsia="仿宋_GB2312"/>
          <w:sz w:val="32"/>
          <w:szCs w:val="32"/>
        </w:rPr>
      </w:pPr>
      <w:r>
        <w:rPr>
          <w:rFonts w:hint="eastAsia" w:ascii="仿宋_GB2312" w:hAnsi="宋体" w:eastAsia="仿宋_GB2312"/>
          <w:b/>
          <w:bCs/>
          <w:sz w:val="32"/>
          <w:szCs w:val="32"/>
        </w:rPr>
        <w:t>第五条</w:t>
      </w:r>
      <w:r>
        <w:rPr>
          <w:rFonts w:hint="eastAsia" w:ascii="仿宋_GB2312" w:eastAsia="仿宋_GB2312"/>
          <w:sz w:val="32"/>
          <w:szCs w:val="32"/>
        </w:rPr>
        <w:t xml:space="preserve"> </w:t>
      </w:r>
      <w:r>
        <w:rPr>
          <w:rFonts w:hint="eastAsia" w:ascii="仿宋_GB2312" w:hAnsi="宋体" w:eastAsia="仿宋_GB2312"/>
          <w:sz w:val="32"/>
          <w:szCs w:val="32"/>
        </w:rPr>
        <w:t>教学评价的信息应及时反馈到各有关部门。每学期初，教学管理人员将上学期专家听课和学生评教的结果反馈给各系，由各系分别通知教师本人。</w:t>
      </w:r>
    </w:p>
    <w:p>
      <w:pPr>
        <w:spacing w:line="600" w:lineRule="exact"/>
        <w:ind w:firstLine="640" w:firstLineChars="200"/>
        <w:rPr>
          <w:rFonts w:hint="eastAsia" w:ascii="仿宋_GB2312" w:eastAsia="仿宋_GB2312"/>
          <w:sz w:val="32"/>
          <w:szCs w:val="32"/>
        </w:rPr>
      </w:pPr>
      <w:r>
        <w:rPr>
          <w:rFonts w:hint="eastAsia" w:ascii="仿宋_GB2312" w:hAnsi="宋体" w:eastAsia="仿宋_GB2312"/>
          <w:sz w:val="32"/>
          <w:szCs w:val="32"/>
        </w:rPr>
        <w:t>建立教学质量评价网页，发布教学质量管理的各种信息，各级领导和广大教师可以根据查询权限通过校园网随时查询评价信息。</w:t>
      </w:r>
    </w:p>
    <w:p>
      <w:pPr>
        <w:pStyle w:val="3"/>
        <w:spacing w:before="0" w:after="0"/>
        <w:jc w:val="center"/>
        <w:rPr>
          <w:rFonts w:hint="eastAsia" w:ascii="黑体" w:eastAsia="黑体"/>
          <w:b w:val="0"/>
        </w:rPr>
      </w:pPr>
      <w:bookmarkStart w:id="6" w:name="_Toc496351328"/>
      <w:bookmarkStart w:id="7" w:name="_Toc496351220"/>
      <w:r>
        <w:rPr>
          <w:rFonts w:hint="eastAsia" w:ascii="黑体" w:eastAsia="黑体"/>
          <w:b w:val="0"/>
        </w:rPr>
        <w:t>第二章 领导、同行、自我评价</w:t>
      </w:r>
      <w:bookmarkEnd w:id="6"/>
      <w:bookmarkEnd w:id="7"/>
    </w:p>
    <w:p>
      <w:pPr>
        <w:spacing w:line="600" w:lineRule="exact"/>
        <w:ind w:firstLine="643" w:firstLineChars="200"/>
        <w:rPr>
          <w:rFonts w:hint="eastAsia" w:ascii="仿宋_GB2312" w:eastAsia="仿宋_GB2312"/>
          <w:sz w:val="32"/>
          <w:szCs w:val="32"/>
        </w:rPr>
      </w:pPr>
      <w:r>
        <w:rPr>
          <w:rFonts w:hint="eastAsia" w:ascii="仿宋_GB2312" w:hAnsi="宋体" w:eastAsia="仿宋_GB2312"/>
          <w:b/>
          <w:bCs/>
          <w:sz w:val="32"/>
          <w:szCs w:val="32"/>
        </w:rPr>
        <w:t>第六条</w:t>
      </w:r>
      <w:r>
        <w:rPr>
          <w:rFonts w:hint="eastAsia" w:ascii="仿宋_GB2312" w:eastAsia="仿宋_GB2312"/>
          <w:sz w:val="32"/>
          <w:szCs w:val="32"/>
        </w:rPr>
        <w:t xml:space="preserve"> </w:t>
      </w:r>
      <w:r>
        <w:rPr>
          <w:rFonts w:hint="eastAsia" w:ascii="仿宋_GB2312" w:hAnsi="宋体" w:eastAsia="仿宋_GB2312"/>
          <w:sz w:val="32"/>
          <w:szCs w:val="32"/>
        </w:rPr>
        <w:t>学院党政领导要经常深入教学第一线调查研究，及时发现、解决教学工作中出现的问题，指导教学改革。各级领导应坚持听课制度，院领导每学期至少听</w:t>
      </w:r>
      <w:r>
        <w:rPr>
          <w:rFonts w:hint="eastAsia" w:ascii="仿宋_GB2312" w:eastAsia="仿宋_GB2312"/>
          <w:sz w:val="32"/>
          <w:szCs w:val="32"/>
        </w:rPr>
        <w:t>8</w:t>
      </w:r>
      <w:r>
        <w:rPr>
          <w:rFonts w:hint="eastAsia" w:ascii="仿宋_GB2312" w:hAnsi="宋体" w:eastAsia="仿宋_GB2312"/>
          <w:sz w:val="32"/>
          <w:szCs w:val="32"/>
        </w:rPr>
        <w:t>次课，系主任每学期要将本系每位教师的课至少听</w:t>
      </w:r>
      <w:r>
        <w:rPr>
          <w:rFonts w:hint="eastAsia" w:ascii="仿宋_GB2312" w:eastAsia="仿宋_GB2312"/>
          <w:sz w:val="32"/>
          <w:szCs w:val="32"/>
        </w:rPr>
        <w:t>1</w:t>
      </w:r>
      <w:r>
        <w:rPr>
          <w:rFonts w:hint="eastAsia" w:ascii="仿宋_GB2312" w:hAnsi="宋体" w:eastAsia="仿宋_GB2312"/>
          <w:sz w:val="32"/>
          <w:szCs w:val="32"/>
        </w:rPr>
        <w:t>次。听课后，应认真填写听课记录表，并及时返回教学管理人员处，经统计汇总后报主管院长，并存档。有关信息及时反馈给有关教师。</w:t>
      </w:r>
    </w:p>
    <w:p>
      <w:pPr>
        <w:spacing w:line="600" w:lineRule="exact"/>
        <w:ind w:firstLine="643" w:firstLineChars="200"/>
        <w:rPr>
          <w:rFonts w:hint="eastAsia" w:ascii="仿宋_GB2312" w:eastAsia="仿宋_GB2312"/>
          <w:sz w:val="32"/>
          <w:szCs w:val="32"/>
        </w:rPr>
      </w:pPr>
      <w:r>
        <w:rPr>
          <w:rFonts w:hint="eastAsia" w:ascii="仿宋_GB2312" w:hAnsi="宋体" w:eastAsia="仿宋_GB2312"/>
          <w:b/>
          <w:bCs/>
          <w:sz w:val="32"/>
          <w:szCs w:val="32"/>
        </w:rPr>
        <w:t>第七条</w:t>
      </w:r>
      <w:r>
        <w:rPr>
          <w:rFonts w:hint="eastAsia" w:ascii="仿宋_GB2312" w:eastAsia="仿宋_GB2312"/>
          <w:b/>
          <w:bCs/>
          <w:sz w:val="32"/>
          <w:szCs w:val="32"/>
        </w:rPr>
        <w:t xml:space="preserve"> </w:t>
      </w:r>
      <w:r>
        <w:rPr>
          <w:rFonts w:hint="eastAsia" w:ascii="仿宋_GB2312" w:hAnsi="宋体" w:eastAsia="仿宋_GB2312"/>
          <w:sz w:val="32"/>
          <w:szCs w:val="32"/>
        </w:rPr>
        <w:t>加强各系教学管理工作，组织教师经常研讨教学内容与教学方法的改革，组织新开课或开新课教师的试讲，保证教师的教学质量。学院领导应经常深入课堂听课，每月至少听</w:t>
      </w:r>
      <w:r>
        <w:rPr>
          <w:rFonts w:hint="eastAsia" w:ascii="仿宋_GB2312" w:eastAsia="仿宋_GB2312"/>
          <w:sz w:val="32"/>
          <w:szCs w:val="32"/>
        </w:rPr>
        <w:t>2</w:t>
      </w:r>
      <w:r>
        <w:rPr>
          <w:rFonts w:hint="eastAsia" w:ascii="仿宋_GB2312" w:hAnsi="宋体" w:eastAsia="仿宋_GB2312"/>
          <w:sz w:val="32"/>
          <w:szCs w:val="32"/>
        </w:rPr>
        <w:t>次课。学院教务干事要做好教学活动的记录和存档工作，要建立健全并保存好各种教学文件和资料，如教学大纲、教学设计、教学日历、试题及答案、试卷、试卷分析、课程设计、学年论文、毕业论文等。</w:t>
      </w:r>
    </w:p>
    <w:p>
      <w:pPr>
        <w:spacing w:line="600" w:lineRule="exact"/>
        <w:ind w:firstLine="643" w:firstLineChars="200"/>
        <w:rPr>
          <w:rFonts w:hint="eastAsia" w:ascii="仿宋_GB2312" w:eastAsia="仿宋_GB2312"/>
          <w:sz w:val="32"/>
          <w:szCs w:val="32"/>
        </w:rPr>
      </w:pPr>
      <w:r>
        <w:rPr>
          <w:rFonts w:hint="eastAsia" w:ascii="仿宋_GB2312" w:hAnsi="宋体" w:eastAsia="仿宋_GB2312"/>
          <w:b/>
          <w:bCs/>
          <w:sz w:val="32"/>
          <w:szCs w:val="32"/>
        </w:rPr>
        <w:t>第八条</w:t>
      </w:r>
      <w:r>
        <w:rPr>
          <w:rFonts w:hint="eastAsia" w:ascii="仿宋_GB2312" w:eastAsia="仿宋_GB2312"/>
          <w:sz w:val="32"/>
          <w:szCs w:val="32"/>
        </w:rPr>
        <w:t xml:space="preserve"> </w:t>
      </w:r>
      <w:r>
        <w:rPr>
          <w:rFonts w:hint="eastAsia" w:ascii="仿宋_GB2312" w:hAnsi="宋体" w:eastAsia="仿宋_GB2312"/>
          <w:sz w:val="32"/>
          <w:szCs w:val="32"/>
        </w:rPr>
        <w:t>各系根据专家和学生评教的反馈信息，有针对性地组织相同课程或相关课程的教师进行同行评价，以取得准确、科学的评价结果，并对教师教学方法上存在的问题进行整改。</w:t>
      </w:r>
    </w:p>
    <w:p>
      <w:pPr>
        <w:spacing w:line="600" w:lineRule="exact"/>
        <w:ind w:firstLine="643" w:firstLineChars="200"/>
        <w:rPr>
          <w:rFonts w:hint="eastAsia" w:ascii="仿宋_GB2312" w:eastAsia="仿宋_GB2312"/>
          <w:sz w:val="32"/>
          <w:szCs w:val="32"/>
        </w:rPr>
      </w:pPr>
      <w:r>
        <w:rPr>
          <w:rFonts w:hint="eastAsia" w:ascii="仿宋_GB2312" w:hAnsi="宋体" w:eastAsia="仿宋_GB2312"/>
          <w:b/>
          <w:bCs/>
          <w:sz w:val="32"/>
          <w:szCs w:val="32"/>
        </w:rPr>
        <w:t>第九条</w:t>
      </w:r>
      <w:r>
        <w:rPr>
          <w:rFonts w:hint="eastAsia" w:ascii="仿宋_GB2312" w:eastAsia="仿宋_GB2312"/>
          <w:sz w:val="32"/>
          <w:szCs w:val="32"/>
        </w:rPr>
        <w:t xml:space="preserve"> </w:t>
      </w:r>
      <w:r>
        <w:rPr>
          <w:rFonts w:hint="eastAsia" w:ascii="仿宋_GB2312" w:hAnsi="宋体" w:eastAsia="仿宋_GB2312"/>
          <w:sz w:val="32"/>
          <w:szCs w:val="32"/>
        </w:rPr>
        <w:t>开展教师自评工作，通过教师问卷调查，了解教师对学生学习态度和效果的评价，对自己教学的总体评价和对自己教学特点的总结，以及对学院教学工作的改进意见和建议。</w:t>
      </w:r>
      <w:r>
        <w:rPr>
          <w:rFonts w:hint="eastAsia" w:ascii="仿宋_GB2312" w:eastAsia="仿宋_GB2312"/>
          <w:sz w:val="32"/>
          <w:szCs w:val="32"/>
        </w:rPr>
        <w:t xml:space="preserve">      </w:t>
      </w:r>
    </w:p>
    <w:p>
      <w:pPr>
        <w:pStyle w:val="3"/>
        <w:spacing w:before="0" w:after="0"/>
        <w:jc w:val="center"/>
        <w:rPr>
          <w:rFonts w:hint="eastAsia" w:ascii="黑体" w:eastAsia="黑体"/>
          <w:b w:val="0"/>
        </w:rPr>
      </w:pPr>
      <w:bookmarkStart w:id="8" w:name="_Toc496351221"/>
      <w:bookmarkStart w:id="9" w:name="_Toc496351329"/>
      <w:r>
        <w:rPr>
          <w:rFonts w:hint="eastAsia" w:ascii="黑体" w:eastAsia="黑体"/>
          <w:b w:val="0"/>
        </w:rPr>
        <w:t>第三章 专家评价</w:t>
      </w:r>
      <w:bookmarkEnd w:id="8"/>
      <w:bookmarkEnd w:id="9"/>
    </w:p>
    <w:p>
      <w:pPr>
        <w:spacing w:line="600" w:lineRule="exact"/>
        <w:ind w:firstLine="643" w:firstLineChars="200"/>
        <w:rPr>
          <w:rFonts w:hint="eastAsia" w:ascii="仿宋_GB2312" w:eastAsia="仿宋_GB2312"/>
          <w:sz w:val="32"/>
          <w:szCs w:val="32"/>
        </w:rPr>
      </w:pPr>
      <w:r>
        <w:rPr>
          <w:rFonts w:hint="eastAsia" w:ascii="仿宋_GB2312" w:hAnsi="宋体" w:eastAsia="仿宋_GB2312"/>
          <w:b/>
          <w:bCs/>
          <w:sz w:val="32"/>
          <w:szCs w:val="32"/>
        </w:rPr>
        <w:t>第十条</w:t>
      </w:r>
      <w:r>
        <w:rPr>
          <w:rFonts w:hint="eastAsia" w:ascii="仿宋_GB2312" w:eastAsia="仿宋_GB2312"/>
          <w:sz w:val="32"/>
          <w:szCs w:val="32"/>
        </w:rPr>
        <w:t xml:space="preserve"> </w:t>
      </w:r>
      <w:r>
        <w:rPr>
          <w:rFonts w:hint="eastAsia" w:ascii="仿宋_GB2312" w:hAnsi="宋体" w:eastAsia="仿宋_GB2312"/>
          <w:sz w:val="32"/>
          <w:szCs w:val="32"/>
        </w:rPr>
        <w:t>专家评价由学院组织教学督导专家组对课堂教学、实践教学、专业实习、课程设计、毕业设计等教学环节的工作情况和效果进行检查与评价，对全院教学环境和教学条件巡视检查，及时发现问题，向学院教学管理人员提出意见和建议，向有关教师提出改进教学的意见和建议，促进教学工作。</w:t>
      </w:r>
    </w:p>
    <w:p>
      <w:pPr>
        <w:spacing w:line="600" w:lineRule="exact"/>
        <w:ind w:firstLine="646" w:firstLineChars="201"/>
        <w:jc w:val="left"/>
        <w:rPr>
          <w:rFonts w:hint="eastAsia" w:ascii="仿宋_GB2312" w:eastAsia="仿宋_GB2312"/>
          <w:sz w:val="32"/>
          <w:szCs w:val="32"/>
        </w:rPr>
      </w:pPr>
      <w:r>
        <w:rPr>
          <w:rFonts w:hint="eastAsia" w:ascii="仿宋_GB2312" w:hAnsi="宋体" w:eastAsia="仿宋_GB2312"/>
          <w:b/>
          <w:bCs/>
          <w:sz w:val="32"/>
          <w:szCs w:val="32"/>
        </w:rPr>
        <w:t>第十一条</w:t>
      </w:r>
      <w:r>
        <w:rPr>
          <w:rFonts w:hint="eastAsia" w:ascii="仿宋_GB2312" w:eastAsia="仿宋_GB2312"/>
          <w:b/>
          <w:bCs/>
          <w:sz w:val="32"/>
          <w:szCs w:val="32"/>
        </w:rPr>
        <w:t xml:space="preserve"> </w:t>
      </w:r>
      <w:r>
        <w:rPr>
          <w:rFonts w:hint="eastAsia" w:ascii="仿宋_GB2312" w:hAnsi="宋体" w:eastAsia="仿宋_GB2312"/>
          <w:sz w:val="32"/>
          <w:szCs w:val="32"/>
        </w:rPr>
        <w:t>教学督导专家组由专兼职的专家队伍组成，专职专家由学院聘请教学经验丰富、责任心强、乐于奉献的退休教师担任，兼职专家由教学带头人和教学名师担任。</w:t>
      </w:r>
    </w:p>
    <w:p>
      <w:pPr>
        <w:spacing w:line="600" w:lineRule="exact"/>
        <w:ind w:firstLine="643" w:firstLineChars="200"/>
        <w:rPr>
          <w:rFonts w:hint="eastAsia" w:ascii="仿宋_GB2312" w:eastAsia="仿宋_GB2312"/>
          <w:sz w:val="32"/>
          <w:szCs w:val="32"/>
        </w:rPr>
      </w:pPr>
      <w:r>
        <w:rPr>
          <w:rFonts w:hint="eastAsia" w:ascii="仿宋_GB2312" w:hAnsi="宋体" w:eastAsia="仿宋_GB2312"/>
          <w:b/>
          <w:bCs/>
          <w:sz w:val="32"/>
          <w:szCs w:val="32"/>
        </w:rPr>
        <w:t>第十二条</w:t>
      </w:r>
      <w:r>
        <w:rPr>
          <w:rFonts w:hint="eastAsia" w:ascii="仿宋_GB2312" w:eastAsia="仿宋_GB2312"/>
          <w:b/>
          <w:bCs/>
          <w:sz w:val="32"/>
          <w:szCs w:val="32"/>
        </w:rPr>
        <w:t xml:space="preserve"> </w:t>
      </w:r>
      <w:r>
        <w:rPr>
          <w:rFonts w:hint="eastAsia" w:ascii="仿宋_GB2312" w:hAnsi="宋体" w:eastAsia="仿宋_GB2312"/>
          <w:sz w:val="32"/>
          <w:szCs w:val="32"/>
        </w:rPr>
        <w:t>专家评价的主要形式与内容如下；</w:t>
      </w:r>
    </w:p>
    <w:p>
      <w:pPr>
        <w:spacing w:line="600" w:lineRule="exact"/>
        <w:ind w:firstLine="640" w:firstLineChars="200"/>
        <w:rPr>
          <w:rFonts w:hint="eastAsia" w:ascii="仿宋_GB2312" w:eastAsia="仿宋_GB2312"/>
          <w:sz w:val="32"/>
          <w:szCs w:val="32"/>
        </w:rPr>
      </w:pPr>
      <w:r>
        <w:rPr>
          <w:rFonts w:hint="eastAsia" w:ascii="仿宋_GB2312" w:hAnsi="宋体" w:eastAsia="仿宋_GB2312"/>
          <w:sz w:val="32"/>
          <w:szCs w:val="32"/>
        </w:rPr>
        <w:t>（一）课堂教学质量检查。教学督导专家应坚持经常听课，兼职专家一般每</w:t>
      </w:r>
      <w:r>
        <w:rPr>
          <w:rFonts w:hint="eastAsia" w:ascii="仿宋_GB2312" w:eastAsia="仿宋_GB2312"/>
          <w:sz w:val="32"/>
          <w:szCs w:val="32"/>
        </w:rPr>
        <w:t>2</w:t>
      </w:r>
      <w:r>
        <w:rPr>
          <w:rFonts w:hint="eastAsia" w:ascii="仿宋_GB2312" w:hAnsi="宋体" w:eastAsia="仿宋_GB2312"/>
          <w:sz w:val="32"/>
          <w:szCs w:val="32"/>
        </w:rPr>
        <w:t>周听</w:t>
      </w:r>
      <w:r>
        <w:rPr>
          <w:rFonts w:hint="eastAsia" w:ascii="仿宋_GB2312" w:eastAsia="仿宋_GB2312"/>
          <w:sz w:val="32"/>
          <w:szCs w:val="32"/>
        </w:rPr>
        <w:t>1</w:t>
      </w:r>
      <w:r>
        <w:rPr>
          <w:rFonts w:hint="eastAsia" w:ascii="仿宋_GB2312" w:hAnsi="宋体" w:eastAsia="仿宋_GB2312"/>
          <w:sz w:val="32"/>
          <w:szCs w:val="32"/>
        </w:rPr>
        <w:t>次课，专职专家每周至少听课</w:t>
      </w:r>
      <w:r>
        <w:rPr>
          <w:rFonts w:hint="eastAsia" w:ascii="仿宋_GB2312" w:eastAsia="仿宋_GB2312"/>
          <w:sz w:val="32"/>
          <w:szCs w:val="32"/>
        </w:rPr>
        <w:t>1</w:t>
      </w:r>
      <w:r>
        <w:rPr>
          <w:rFonts w:hint="eastAsia" w:ascii="仿宋_GB2312" w:hAnsi="宋体" w:eastAsia="仿宋_GB2312"/>
          <w:sz w:val="32"/>
          <w:szCs w:val="32"/>
        </w:rPr>
        <w:t>次。专家听课后，应与教师核对姓名，认真填写课堂教学质量专家评价表。并及时将听课意见和建议反馈给教师。若发现有停课、调课等现象，应与学院、系和教务干事核实教师是否履行正常手续。</w:t>
      </w:r>
    </w:p>
    <w:p>
      <w:pPr>
        <w:spacing w:line="600" w:lineRule="exact"/>
        <w:ind w:firstLine="640" w:firstLineChars="200"/>
        <w:rPr>
          <w:rFonts w:hint="eastAsia" w:ascii="仿宋_GB2312" w:eastAsia="仿宋_GB2312"/>
          <w:sz w:val="32"/>
          <w:szCs w:val="32"/>
        </w:rPr>
      </w:pPr>
      <w:r>
        <w:rPr>
          <w:rFonts w:hint="eastAsia" w:ascii="仿宋_GB2312" w:hAnsi="宋体" w:eastAsia="仿宋_GB2312"/>
          <w:sz w:val="32"/>
          <w:szCs w:val="32"/>
        </w:rPr>
        <w:t>（二）实践教学质量检查。各系应于每学期前两周将本学期实践安排报学院教务干事，以备专家检查。实践教学质量检查内容包括：实践内容、实践教材（或指导书）、实践准备、教师指导、和实践报告等。</w:t>
      </w:r>
    </w:p>
    <w:p>
      <w:pPr>
        <w:spacing w:line="600" w:lineRule="exact"/>
        <w:ind w:firstLine="640" w:firstLineChars="200"/>
        <w:rPr>
          <w:rFonts w:hint="eastAsia" w:ascii="仿宋_GB2312" w:eastAsia="仿宋_GB2312"/>
          <w:sz w:val="32"/>
          <w:szCs w:val="32"/>
        </w:rPr>
      </w:pPr>
      <w:r>
        <w:rPr>
          <w:rFonts w:hint="eastAsia" w:ascii="仿宋_GB2312" w:hAnsi="宋体" w:eastAsia="仿宋_GB2312"/>
          <w:sz w:val="32"/>
          <w:szCs w:val="32"/>
        </w:rPr>
        <w:t>（三）毕业论文检查。教学督导专家组参加学院组织的毕业论文中期检查和毕业答辩检查。每两年对毕业论文进行一次抽样评阅；按照教育部毕业论文评价指标评价毕业论文质量。</w:t>
      </w:r>
    </w:p>
    <w:p>
      <w:pPr>
        <w:spacing w:line="600" w:lineRule="exact"/>
        <w:ind w:firstLine="640" w:firstLineChars="200"/>
        <w:rPr>
          <w:rFonts w:hint="eastAsia" w:ascii="仿宋_GB2312" w:eastAsia="仿宋_GB2312"/>
          <w:sz w:val="32"/>
          <w:szCs w:val="32"/>
        </w:rPr>
      </w:pPr>
      <w:r>
        <w:rPr>
          <w:rFonts w:hint="eastAsia" w:ascii="仿宋_GB2312" w:hAnsi="宋体" w:eastAsia="仿宋_GB2312"/>
          <w:sz w:val="32"/>
          <w:szCs w:val="32"/>
        </w:rPr>
        <w:t>（四）试卷检查。每两年对各类试卷进行一次抽样检查。</w:t>
      </w:r>
    </w:p>
    <w:p>
      <w:pPr>
        <w:spacing w:line="600" w:lineRule="exact"/>
        <w:ind w:firstLine="640" w:firstLineChars="200"/>
        <w:rPr>
          <w:rFonts w:hint="eastAsia" w:ascii="仿宋_GB2312" w:eastAsia="仿宋_GB2312"/>
          <w:sz w:val="32"/>
          <w:szCs w:val="32"/>
        </w:rPr>
      </w:pPr>
      <w:r>
        <w:rPr>
          <w:rFonts w:hint="eastAsia" w:ascii="仿宋_GB2312" w:hAnsi="宋体" w:eastAsia="仿宋_GB2312"/>
          <w:sz w:val="32"/>
          <w:szCs w:val="32"/>
        </w:rPr>
        <w:t>（五）作业检查。每两年对学生作业、课程论文、课程设计作业进行一次抽样检查。</w:t>
      </w:r>
    </w:p>
    <w:p>
      <w:pPr>
        <w:spacing w:line="600" w:lineRule="exact"/>
        <w:ind w:firstLine="640" w:firstLineChars="200"/>
        <w:rPr>
          <w:rFonts w:hint="eastAsia" w:ascii="仿宋_GB2312" w:eastAsia="仿宋_GB2312"/>
          <w:sz w:val="32"/>
          <w:szCs w:val="32"/>
        </w:rPr>
      </w:pPr>
      <w:r>
        <w:rPr>
          <w:rFonts w:hint="eastAsia" w:ascii="仿宋_GB2312" w:hAnsi="宋体" w:eastAsia="仿宋_GB2312"/>
          <w:sz w:val="32"/>
          <w:szCs w:val="32"/>
        </w:rPr>
        <w:t>（六）教学文件检查。每年抽查一次教师教学文件，包括教学大纲、教学设计、教学进度表、教案等。</w:t>
      </w:r>
    </w:p>
    <w:p>
      <w:pPr>
        <w:spacing w:line="600" w:lineRule="exact"/>
        <w:ind w:firstLine="640" w:firstLineChars="200"/>
        <w:rPr>
          <w:rFonts w:hint="eastAsia" w:ascii="仿宋_GB2312" w:eastAsia="仿宋_GB2312"/>
          <w:sz w:val="32"/>
          <w:szCs w:val="32"/>
        </w:rPr>
      </w:pPr>
      <w:r>
        <w:rPr>
          <w:rFonts w:hint="eastAsia" w:ascii="仿宋_GB2312" w:hAnsi="宋体" w:eastAsia="仿宋_GB2312"/>
          <w:sz w:val="32"/>
          <w:szCs w:val="32"/>
        </w:rPr>
        <w:t>（七）教师和学生座谈会。每学期分别召开一次教师和学生座谈会，听取教师和学生对教学改革、教学评价和教学管理工作的意见或建议，并及时向有关部门反馈，以促进教学质量的提高。</w:t>
      </w:r>
    </w:p>
    <w:p>
      <w:pPr>
        <w:spacing w:line="600" w:lineRule="exact"/>
        <w:ind w:firstLine="643" w:firstLineChars="200"/>
        <w:rPr>
          <w:rFonts w:hint="eastAsia" w:ascii="仿宋_GB2312" w:eastAsia="仿宋_GB2312"/>
          <w:sz w:val="32"/>
          <w:szCs w:val="32"/>
        </w:rPr>
      </w:pPr>
      <w:r>
        <w:rPr>
          <w:rFonts w:hint="eastAsia" w:ascii="仿宋_GB2312" w:hAnsi="宋体" w:eastAsia="仿宋_GB2312"/>
          <w:b/>
          <w:bCs/>
          <w:sz w:val="32"/>
          <w:szCs w:val="32"/>
        </w:rPr>
        <w:t>第十三条</w:t>
      </w:r>
      <w:r>
        <w:rPr>
          <w:rFonts w:hint="eastAsia" w:ascii="仿宋_GB2312" w:eastAsia="仿宋_GB2312"/>
          <w:sz w:val="32"/>
          <w:szCs w:val="32"/>
        </w:rPr>
        <w:t xml:space="preserve"> </w:t>
      </w:r>
      <w:r>
        <w:rPr>
          <w:rFonts w:hint="eastAsia" w:ascii="仿宋_GB2312" w:hAnsi="宋体" w:eastAsia="仿宋_GB2312"/>
          <w:sz w:val="32"/>
          <w:szCs w:val="32"/>
        </w:rPr>
        <w:t>教学督导专家要经常学习研究教育理论和学校、学院的教学管理规程和有关政策，不断提高督导工作水平。各专家小组应每学期集中</w:t>
      </w:r>
      <w:r>
        <w:rPr>
          <w:rFonts w:hint="eastAsia" w:ascii="仿宋_GB2312" w:eastAsia="仿宋_GB2312"/>
          <w:sz w:val="32"/>
          <w:szCs w:val="32"/>
        </w:rPr>
        <w:t>1</w:t>
      </w:r>
      <w:r>
        <w:rPr>
          <w:rFonts w:hint="eastAsia" w:ascii="仿宋_GB2312" w:hAnsi="宋体" w:eastAsia="仿宋_GB2312"/>
          <w:sz w:val="32"/>
          <w:szCs w:val="32"/>
        </w:rPr>
        <w:t>—</w:t>
      </w:r>
      <w:r>
        <w:rPr>
          <w:rFonts w:hint="eastAsia" w:ascii="仿宋_GB2312" w:eastAsia="仿宋_GB2312"/>
          <w:sz w:val="32"/>
          <w:szCs w:val="32"/>
        </w:rPr>
        <w:t>2</w:t>
      </w:r>
      <w:r>
        <w:rPr>
          <w:rFonts w:hint="eastAsia" w:ascii="仿宋_GB2312" w:hAnsi="宋体" w:eastAsia="仿宋_GB2312"/>
          <w:sz w:val="32"/>
          <w:szCs w:val="32"/>
        </w:rPr>
        <w:t>次，交流总结工作经验。每学期应形成一份总结报告，交学院存档。</w:t>
      </w:r>
    </w:p>
    <w:p>
      <w:pPr>
        <w:spacing w:line="600" w:lineRule="exact"/>
        <w:ind w:firstLine="643" w:firstLineChars="200"/>
        <w:rPr>
          <w:rFonts w:hint="eastAsia" w:ascii="仿宋_GB2312" w:hAnsi="宋体" w:eastAsia="仿宋_GB2312"/>
          <w:sz w:val="32"/>
          <w:szCs w:val="32"/>
        </w:rPr>
      </w:pPr>
      <w:r>
        <w:rPr>
          <w:rFonts w:hint="eastAsia" w:ascii="仿宋_GB2312" w:hAnsi="宋体" w:eastAsia="仿宋_GB2312"/>
          <w:b/>
          <w:bCs/>
          <w:sz w:val="32"/>
          <w:szCs w:val="32"/>
        </w:rPr>
        <w:t>第十四条</w:t>
      </w:r>
      <w:r>
        <w:rPr>
          <w:rFonts w:hint="eastAsia" w:ascii="仿宋_GB2312" w:eastAsia="仿宋_GB2312"/>
          <w:b/>
          <w:bCs/>
          <w:sz w:val="32"/>
          <w:szCs w:val="32"/>
        </w:rPr>
        <w:t xml:space="preserve"> </w:t>
      </w:r>
      <w:r>
        <w:rPr>
          <w:rFonts w:hint="eastAsia" w:ascii="仿宋_GB2312" w:hAnsi="宋体" w:eastAsia="仿宋_GB2312"/>
          <w:sz w:val="32"/>
          <w:szCs w:val="32"/>
        </w:rPr>
        <w:t>教学督导专家对教师教学质量的评价要严格执行专家评教指标，做到公正、合理。</w:t>
      </w:r>
    </w:p>
    <w:p>
      <w:pPr>
        <w:spacing w:line="600" w:lineRule="exact"/>
        <w:ind w:firstLine="643" w:firstLineChars="200"/>
        <w:rPr>
          <w:rFonts w:hint="eastAsia" w:ascii="仿宋_GB2312" w:eastAsia="仿宋_GB2312"/>
          <w:sz w:val="32"/>
          <w:szCs w:val="32"/>
        </w:rPr>
      </w:pPr>
      <w:r>
        <w:rPr>
          <w:rFonts w:hint="eastAsia" w:ascii="仿宋_GB2312" w:hAnsi="宋体" w:eastAsia="仿宋_GB2312"/>
          <w:b/>
          <w:bCs/>
          <w:sz w:val="32"/>
          <w:szCs w:val="32"/>
        </w:rPr>
        <w:t>第十五条</w:t>
      </w:r>
      <w:r>
        <w:rPr>
          <w:rFonts w:hint="eastAsia" w:ascii="仿宋_GB2312" w:eastAsia="仿宋_GB2312"/>
          <w:sz w:val="32"/>
          <w:szCs w:val="32"/>
        </w:rPr>
        <w:t xml:space="preserve"> </w:t>
      </w:r>
      <w:r>
        <w:rPr>
          <w:rFonts w:hint="eastAsia" w:ascii="仿宋_GB2312" w:hAnsi="宋体" w:eastAsia="仿宋_GB2312"/>
          <w:sz w:val="32"/>
          <w:szCs w:val="32"/>
        </w:rPr>
        <w:t>教师对教学质量的评价结果如有异议，可向学院申请复评，学院主管领导将组织专家对该教师进行重新评价。</w:t>
      </w:r>
    </w:p>
    <w:p>
      <w:pPr>
        <w:spacing w:line="600" w:lineRule="exact"/>
        <w:ind w:firstLine="643" w:firstLineChars="200"/>
        <w:rPr>
          <w:rFonts w:hint="eastAsia" w:ascii="仿宋_GB2312" w:hAnsi="宋体" w:eastAsia="仿宋_GB2312"/>
          <w:sz w:val="32"/>
          <w:szCs w:val="32"/>
        </w:rPr>
      </w:pPr>
      <w:r>
        <w:rPr>
          <w:rFonts w:hint="eastAsia" w:ascii="仿宋_GB2312" w:hAnsi="宋体" w:eastAsia="仿宋_GB2312"/>
          <w:b/>
          <w:bCs/>
          <w:sz w:val="32"/>
          <w:szCs w:val="32"/>
        </w:rPr>
        <w:t>第十六条</w:t>
      </w:r>
      <w:r>
        <w:rPr>
          <w:rFonts w:hint="eastAsia" w:ascii="仿宋_GB2312" w:eastAsia="仿宋_GB2312"/>
          <w:sz w:val="32"/>
          <w:szCs w:val="32"/>
        </w:rPr>
        <w:t xml:space="preserve"> </w:t>
      </w:r>
      <w:r>
        <w:rPr>
          <w:rFonts w:hint="eastAsia" w:ascii="仿宋_GB2312" w:hAnsi="宋体" w:eastAsia="仿宋_GB2312"/>
          <w:sz w:val="32"/>
          <w:szCs w:val="32"/>
        </w:rPr>
        <w:t>学院对参与教学督导工作的专家给予相应的报酬，提供必要的工作条件。</w:t>
      </w:r>
    </w:p>
    <w:p>
      <w:pPr>
        <w:pStyle w:val="3"/>
        <w:spacing w:before="0" w:after="0"/>
        <w:jc w:val="center"/>
        <w:rPr>
          <w:rFonts w:hint="eastAsia" w:ascii="黑体" w:eastAsia="黑体"/>
          <w:b w:val="0"/>
        </w:rPr>
      </w:pPr>
      <w:bookmarkStart w:id="10" w:name="_Toc496351222"/>
      <w:bookmarkStart w:id="11" w:name="_Toc496351330"/>
      <w:r>
        <w:rPr>
          <w:rFonts w:hint="eastAsia" w:ascii="黑体" w:eastAsia="黑体"/>
          <w:b w:val="0"/>
        </w:rPr>
        <w:t>第四章 学生评教</w:t>
      </w:r>
      <w:bookmarkEnd w:id="10"/>
      <w:bookmarkEnd w:id="11"/>
    </w:p>
    <w:p>
      <w:pPr>
        <w:spacing w:line="600" w:lineRule="exact"/>
        <w:ind w:firstLine="643" w:firstLineChars="200"/>
        <w:rPr>
          <w:rFonts w:hint="eastAsia" w:ascii="仿宋_GB2312" w:eastAsia="仿宋_GB2312"/>
          <w:sz w:val="32"/>
          <w:szCs w:val="32"/>
        </w:rPr>
      </w:pPr>
      <w:r>
        <w:rPr>
          <w:rFonts w:hint="eastAsia" w:ascii="仿宋_GB2312" w:hAnsi="宋体" w:eastAsia="仿宋_GB2312"/>
          <w:b/>
          <w:bCs/>
          <w:sz w:val="32"/>
          <w:szCs w:val="32"/>
        </w:rPr>
        <w:t>第十七条</w:t>
      </w:r>
      <w:r>
        <w:rPr>
          <w:rFonts w:hint="eastAsia" w:ascii="仿宋_GB2312" w:eastAsia="仿宋_GB2312"/>
          <w:b/>
          <w:bCs/>
          <w:sz w:val="32"/>
          <w:szCs w:val="32"/>
        </w:rPr>
        <w:t xml:space="preserve"> </w:t>
      </w:r>
      <w:r>
        <w:rPr>
          <w:rFonts w:hint="eastAsia" w:ascii="仿宋_GB2312" w:hAnsi="宋体" w:eastAsia="仿宋_GB2312"/>
          <w:sz w:val="32"/>
          <w:szCs w:val="32"/>
        </w:rPr>
        <w:t>学生评教由两部分构成：一是学校教务处统一组织的学生评教；二是由学院组织的评教。</w:t>
      </w:r>
    </w:p>
    <w:p>
      <w:pPr>
        <w:spacing w:line="600" w:lineRule="exact"/>
        <w:ind w:firstLine="643" w:firstLineChars="200"/>
        <w:rPr>
          <w:rFonts w:hint="eastAsia" w:ascii="仿宋_GB2312" w:eastAsia="仿宋_GB2312"/>
          <w:sz w:val="32"/>
          <w:szCs w:val="32"/>
        </w:rPr>
      </w:pPr>
      <w:r>
        <w:rPr>
          <w:rFonts w:hint="eastAsia" w:ascii="仿宋_GB2312" w:hAnsi="宋体" w:eastAsia="仿宋_GB2312"/>
          <w:b/>
          <w:bCs/>
          <w:sz w:val="32"/>
          <w:szCs w:val="32"/>
        </w:rPr>
        <w:t>第十八条</w:t>
      </w:r>
      <w:r>
        <w:rPr>
          <w:rFonts w:hint="eastAsia" w:ascii="仿宋_GB2312" w:eastAsia="仿宋_GB2312"/>
          <w:sz w:val="32"/>
          <w:szCs w:val="32"/>
        </w:rPr>
        <w:t xml:space="preserve"> </w:t>
      </w:r>
      <w:r>
        <w:rPr>
          <w:rFonts w:hint="eastAsia" w:ascii="仿宋_GB2312" w:hAnsi="宋体" w:eastAsia="仿宋_GB2312"/>
          <w:sz w:val="32"/>
          <w:szCs w:val="32"/>
        </w:rPr>
        <w:t>学校组织的学生评教一般在每学期</w:t>
      </w:r>
      <w:r>
        <w:rPr>
          <w:rFonts w:hint="eastAsia" w:ascii="仿宋_GB2312" w:eastAsia="仿宋_GB2312"/>
          <w:sz w:val="32"/>
          <w:szCs w:val="32"/>
        </w:rPr>
        <w:t>14</w:t>
      </w:r>
      <w:r>
        <w:rPr>
          <w:rFonts w:hint="eastAsia" w:ascii="仿宋_GB2312" w:hAnsi="宋体" w:eastAsia="仿宋_GB2312"/>
          <w:sz w:val="32"/>
          <w:szCs w:val="32"/>
        </w:rPr>
        <w:t>～</w:t>
      </w:r>
      <w:r>
        <w:rPr>
          <w:rFonts w:hint="eastAsia" w:ascii="仿宋_GB2312" w:eastAsia="仿宋_GB2312"/>
          <w:sz w:val="32"/>
          <w:szCs w:val="32"/>
        </w:rPr>
        <w:t>18</w:t>
      </w:r>
      <w:r>
        <w:rPr>
          <w:rFonts w:hint="eastAsia" w:ascii="仿宋_GB2312" w:hAnsi="宋体" w:eastAsia="仿宋_GB2312"/>
          <w:sz w:val="32"/>
          <w:szCs w:val="32"/>
        </w:rPr>
        <w:t>周进行。学院应配合教务处做好学生评教工作。学院组织的学生评教由教务干事和团学办组织，评价以问卷调查的形式进行。</w:t>
      </w:r>
      <w:r>
        <w:rPr>
          <w:rFonts w:hint="eastAsia" w:ascii="仿宋_GB2312" w:eastAsia="仿宋_GB2312"/>
          <w:sz w:val="32"/>
          <w:szCs w:val="32"/>
        </w:rPr>
        <w:t xml:space="preserve">  </w:t>
      </w:r>
    </w:p>
    <w:p>
      <w:pPr>
        <w:spacing w:line="600" w:lineRule="exact"/>
        <w:ind w:firstLine="643" w:firstLineChars="200"/>
        <w:rPr>
          <w:rFonts w:hint="eastAsia" w:ascii="仿宋_GB2312" w:eastAsia="仿宋_GB2312"/>
          <w:sz w:val="32"/>
          <w:szCs w:val="32"/>
        </w:rPr>
      </w:pPr>
      <w:r>
        <w:rPr>
          <w:rFonts w:hint="eastAsia" w:ascii="仿宋_GB2312" w:hAnsi="宋体" w:eastAsia="仿宋_GB2312"/>
          <w:b/>
          <w:bCs/>
          <w:sz w:val="32"/>
          <w:szCs w:val="32"/>
        </w:rPr>
        <w:t>第十九条</w:t>
      </w:r>
      <w:r>
        <w:rPr>
          <w:rFonts w:hint="eastAsia" w:ascii="仿宋_GB2312" w:eastAsia="仿宋_GB2312"/>
          <w:sz w:val="32"/>
          <w:szCs w:val="32"/>
        </w:rPr>
        <w:t xml:space="preserve"> </w:t>
      </w:r>
      <w:r>
        <w:rPr>
          <w:rFonts w:hint="eastAsia" w:ascii="仿宋_GB2312" w:hAnsi="宋体" w:eastAsia="仿宋_GB2312"/>
          <w:sz w:val="32"/>
          <w:szCs w:val="32"/>
        </w:rPr>
        <w:t>学生评教要严密组织，防止发生错评、漏评等现象。学院教务干事提供给学生的开课教师名单、教师编码、课程名称等要准确无误；学生要本人填写，填写代码要准确无误。</w:t>
      </w:r>
    </w:p>
    <w:p>
      <w:pPr>
        <w:spacing w:line="600" w:lineRule="exact"/>
        <w:ind w:firstLine="643" w:firstLineChars="200"/>
        <w:rPr>
          <w:rFonts w:hint="eastAsia" w:ascii="仿宋_GB2312" w:eastAsia="仿宋_GB2312"/>
          <w:sz w:val="32"/>
          <w:szCs w:val="32"/>
        </w:rPr>
      </w:pPr>
      <w:r>
        <w:rPr>
          <w:rFonts w:hint="eastAsia" w:ascii="仿宋_GB2312" w:hAnsi="宋体" w:eastAsia="仿宋_GB2312"/>
          <w:b/>
          <w:bCs/>
          <w:sz w:val="32"/>
          <w:szCs w:val="32"/>
        </w:rPr>
        <w:t>第二十条</w:t>
      </w:r>
      <w:r>
        <w:rPr>
          <w:rFonts w:hint="eastAsia" w:ascii="仿宋_GB2312" w:eastAsia="仿宋_GB2312"/>
          <w:sz w:val="32"/>
          <w:szCs w:val="32"/>
        </w:rPr>
        <w:t xml:space="preserve"> </w:t>
      </w:r>
      <w:r>
        <w:rPr>
          <w:rFonts w:hint="eastAsia" w:ascii="仿宋_GB2312" w:hAnsi="宋体" w:eastAsia="仿宋_GB2312"/>
          <w:sz w:val="32"/>
          <w:szCs w:val="32"/>
        </w:rPr>
        <w:t>学院评教统计学生评教数据时，为了消除一些极端数据的影响，各按</w:t>
      </w:r>
      <w:r>
        <w:rPr>
          <w:rFonts w:hint="eastAsia" w:ascii="仿宋_GB2312" w:eastAsia="仿宋_GB2312"/>
          <w:sz w:val="32"/>
          <w:szCs w:val="32"/>
        </w:rPr>
        <w:t>5%</w:t>
      </w:r>
      <w:r>
        <w:rPr>
          <w:rFonts w:hint="eastAsia" w:ascii="仿宋_GB2312" w:hAnsi="宋体" w:eastAsia="仿宋_GB2312"/>
          <w:sz w:val="32"/>
          <w:szCs w:val="32"/>
        </w:rPr>
        <w:t>的比例去掉最高、最低分，对评价等级</w:t>
      </w:r>
      <w:r>
        <w:rPr>
          <w:rFonts w:hint="eastAsia" w:ascii="仿宋_GB2312" w:eastAsia="仿宋_GB2312"/>
          <w:sz w:val="32"/>
          <w:szCs w:val="32"/>
        </w:rPr>
        <w:t>A</w:t>
      </w:r>
      <w:r>
        <w:rPr>
          <w:rFonts w:hint="eastAsia" w:ascii="仿宋_GB2312" w:hAnsi="宋体" w:eastAsia="仿宋_GB2312"/>
          <w:sz w:val="32"/>
          <w:szCs w:val="32"/>
        </w:rPr>
        <w:t>、</w:t>
      </w:r>
      <w:r>
        <w:rPr>
          <w:rFonts w:hint="eastAsia" w:ascii="仿宋_GB2312" w:eastAsia="仿宋_GB2312"/>
          <w:sz w:val="32"/>
          <w:szCs w:val="32"/>
        </w:rPr>
        <w:t>B</w:t>
      </w:r>
      <w:r>
        <w:rPr>
          <w:rFonts w:hint="eastAsia" w:ascii="仿宋_GB2312" w:hAnsi="宋体" w:eastAsia="仿宋_GB2312"/>
          <w:sz w:val="32"/>
          <w:szCs w:val="32"/>
        </w:rPr>
        <w:t>、</w:t>
      </w:r>
      <w:r>
        <w:rPr>
          <w:rFonts w:hint="eastAsia" w:ascii="仿宋_GB2312" w:eastAsia="仿宋_GB2312"/>
          <w:sz w:val="32"/>
          <w:szCs w:val="32"/>
        </w:rPr>
        <w:t>C</w:t>
      </w:r>
      <w:r>
        <w:rPr>
          <w:rFonts w:hint="eastAsia" w:ascii="仿宋_GB2312" w:hAnsi="宋体" w:eastAsia="仿宋_GB2312"/>
          <w:sz w:val="32"/>
          <w:szCs w:val="32"/>
        </w:rPr>
        <w:t>、</w:t>
      </w:r>
      <w:r>
        <w:rPr>
          <w:rFonts w:hint="eastAsia" w:ascii="仿宋_GB2312" w:eastAsia="仿宋_GB2312"/>
          <w:sz w:val="32"/>
          <w:szCs w:val="32"/>
        </w:rPr>
        <w:t>D</w:t>
      </w:r>
      <w:r>
        <w:rPr>
          <w:rFonts w:hint="eastAsia" w:ascii="仿宋_GB2312" w:hAnsi="宋体" w:eastAsia="仿宋_GB2312"/>
          <w:sz w:val="32"/>
          <w:szCs w:val="32"/>
        </w:rPr>
        <w:t>、</w:t>
      </w:r>
      <w:r>
        <w:rPr>
          <w:rFonts w:hint="eastAsia" w:ascii="仿宋_GB2312" w:eastAsia="仿宋_GB2312"/>
          <w:sz w:val="32"/>
          <w:szCs w:val="32"/>
        </w:rPr>
        <w:t>E</w:t>
      </w:r>
      <w:r>
        <w:rPr>
          <w:rFonts w:hint="eastAsia" w:ascii="仿宋_GB2312" w:hAnsi="宋体" w:eastAsia="仿宋_GB2312"/>
          <w:sz w:val="32"/>
          <w:szCs w:val="32"/>
        </w:rPr>
        <w:t>分别赋以</w:t>
      </w:r>
      <w:r>
        <w:rPr>
          <w:rFonts w:hint="eastAsia" w:ascii="仿宋_GB2312" w:eastAsia="仿宋_GB2312"/>
          <w:sz w:val="32"/>
          <w:szCs w:val="32"/>
        </w:rPr>
        <w:t>95</w:t>
      </w:r>
      <w:r>
        <w:rPr>
          <w:rFonts w:hint="eastAsia" w:ascii="仿宋_GB2312" w:hAnsi="宋体" w:eastAsia="仿宋_GB2312"/>
          <w:sz w:val="32"/>
          <w:szCs w:val="32"/>
        </w:rPr>
        <w:t>、</w:t>
      </w:r>
      <w:r>
        <w:rPr>
          <w:rFonts w:hint="eastAsia" w:ascii="仿宋_GB2312" w:eastAsia="仿宋_GB2312"/>
          <w:sz w:val="32"/>
          <w:szCs w:val="32"/>
        </w:rPr>
        <w:t>85</w:t>
      </w:r>
      <w:r>
        <w:rPr>
          <w:rFonts w:hint="eastAsia" w:ascii="仿宋_GB2312" w:hAnsi="宋体" w:eastAsia="仿宋_GB2312"/>
          <w:sz w:val="32"/>
          <w:szCs w:val="32"/>
        </w:rPr>
        <w:t>、</w:t>
      </w:r>
      <w:r>
        <w:rPr>
          <w:rFonts w:hint="eastAsia" w:ascii="仿宋_GB2312" w:eastAsia="仿宋_GB2312"/>
          <w:sz w:val="32"/>
          <w:szCs w:val="32"/>
        </w:rPr>
        <w:t>75</w:t>
      </w:r>
      <w:r>
        <w:rPr>
          <w:rFonts w:hint="eastAsia" w:ascii="仿宋_GB2312" w:hAnsi="宋体" w:eastAsia="仿宋_GB2312"/>
          <w:sz w:val="32"/>
          <w:szCs w:val="32"/>
        </w:rPr>
        <w:t>、</w:t>
      </w:r>
      <w:r>
        <w:rPr>
          <w:rFonts w:hint="eastAsia" w:ascii="仿宋_GB2312" w:eastAsia="仿宋_GB2312"/>
          <w:sz w:val="32"/>
          <w:szCs w:val="32"/>
        </w:rPr>
        <w:t>65</w:t>
      </w:r>
      <w:r>
        <w:rPr>
          <w:rFonts w:hint="eastAsia" w:ascii="仿宋_GB2312" w:hAnsi="宋体" w:eastAsia="仿宋_GB2312"/>
          <w:sz w:val="32"/>
          <w:szCs w:val="32"/>
        </w:rPr>
        <w:t>、</w:t>
      </w:r>
      <w:r>
        <w:rPr>
          <w:rFonts w:hint="eastAsia" w:ascii="仿宋_GB2312" w:eastAsia="仿宋_GB2312"/>
          <w:sz w:val="32"/>
          <w:szCs w:val="32"/>
        </w:rPr>
        <w:t>55</w:t>
      </w:r>
      <w:r>
        <w:rPr>
          <w:rFonts w:hint="eastAsia" w:ascii="仿宋_GB2312" w:hAnsi="宋体" w:eastAsia="仿宋_GB2312"/>
          <w:sz w:val="32"/>
          <w:szCs w:val="32"/>
        </w:rPr>
        <w:t>的分值，然后加权求和，得出反映每位被评教师课堂教学质量的分值。</w:t>
      </w:r>
    </w:p>
    <w:p>
      <w:pPr>
        <w:spacing w:line="600" w:lineRule="exact"/>
        <w:ind w:firstLine="643" w:firstLineChars="200"/>
        <w:rPr>
          <w:rFonts w:hint="eastAsia" w:ascii="仿宋_GB2312" w:eastAsia="仿宋_GB2312"/>
          <w:sz w:val="32"/>
          <w:szCs w:val="32"/>
        </w:rPr>
      </w:pPr>
      <w:r>
        <w:rPr>
          <w:rFonts w:hint="eastAsia" w:ascii="仿宋_GB2312" w:hAnsi="宋体" w:eastAsia="仿宋_GB2312"/>
          <w:b/>
          <w:bCs/>
          <w:sz w:val="32"/>
          <w:szCs w:val="32"/>
        </w:rPr>
        <w:t>第二十一条</w:t>
      </w:r>
      <w:r>
        <w:rPr>
          <w:rFonts w:hint="eastAsia" w:ascii="仿宋_GB2312" w:eastAsia="仿宋_GB2312"/>
          <w:sz w:val="32"/>
          <w:szCs w:val="32"/>
        </w:rPr>
        <w:t xml:space="preserve"> </w:t>
      </w:r>
      <w:r>
        <w:rPr>
          <w:rFonts w:hint="eastAsia" w:ascii="仿宋_GB2312" w:hAnsi="宋体" w:eastAsia="仿宋_GB2312"/>
          <w:sz w:val="32"/>
          <w:szCs w:val="32"/>
        </w:rPr>
        <w:t>每年春季学期，对应届毕业生进行一次问卷调查，调查内容包括：对课程重要性的认识、对实践教学环节的认识、课程体系与教学内容改革、名师点评等，从中获取学生对学院教学工作的意见和建议。</w:t>
      </w:r>
    </w:p>
    <w:p>
      <w:pPr>
        <w:spacing w:line="600" w:lineRule="exact"/>
        <w:ind w:firstLine="643" w:firstLineChars="200"/>
        <w:rPr>
          <w:rFonts w:hint="eastAsia" w:ascii="仿宋_GB2312" w:hAnsi="宋体" w:eastAsia="仿宋_GB2312"/>
          <w:sz w:val="32"/>
          <w:szCs w:val="32"/>
        </w:rPr>
      </w:pPr>
      <w:r>
        <w:rPr>
          <w:rFonts w:hint="eastAsia" w:ascii="仿宋_GB2312" w:hAnsi="宋体" w:eastAsia="仿宋_GB2312"/>
          <w:b/>
          <w:bCs/>
          <w:sz w:val="32"/>
          <w:szCs w:val="32"/>
        </w:rPr>
        <w:t>第二十二条</w:t>
      </w:r>
      <w:r>
        <w:rPr>
          <w:rFonts w:hint="eastAsia" w:ascii="仿宋_GB2312" w:eastAsia="仿宋_GB2312"/>
          <w:b/>
          <w:bCs/>
          <w:sz w:val="32"/>
          <w:szCs w:val="32"/>
        </w:rPr>
        <w:t xml:space="preserve"> </w:t>
      </w:r>
      <w:r>
        <w:rPr>
          <w:rFonts w:hint="eastAsia" w:ascii="仿宋_GB2312" w:hAnsi="宋体" w:eastAsia="仿宋_GB2312"/>
          <w:sz w:val="32"/>
          <w:szCs w:val="32"/>
        </w:rPr>
        <w:t>评教结果按公共课和专业课分类排序，定期公布。</w:t>
      </w:r>
    </w:p>
    <w:p>
      <w:pPr>
        <w:pStyle w:val="3"/>
        <w:spacing w:before="0" w:after="0"/>
        <w:jc w:val="center"/>
        <w:rPr>
          <w:rFonts w:hint="eastAsia" w:ascii="黑体" w:eastAsia="黑体"/>
          <w:b w:val="0"/>
        </w:rPr>
      </w:pPr>
      <w:bookmarkStart w:id="12" w:name="_Toc496351331"/>
      <w:bookmarkStart w:id="13" w:name="_Toc496351223"/>
      <w:r>
        <w:rPr>
          <w:rFonts w:hint="eastAsia" w:ascii="黑体" w:eastAsia="黑体"/>
          <w:b w:val="0"/>
        </w:rPr>
        <w:t>第五章 教师培训与试教制度</w:t>
      </w:r>
      <w:bookmarkEnd w:id="12"/>
      <w:bookmarkEnd w:id="13"/>
    </w:p>
    <w:p>
      <w:pPr>
        <w:spacing w:line="600" w:lineRule="exact"/>
        <w:ind w:firstLine="643" w:firstLineChars="200"/>
        <w:rPr>
          <w:rFonts w:hint="eastAsia" w:ascii="仿宋_GB2312" w:eastAsia="仿宋_GB2312"/>
          <w:sz w:val="32"/>
          <w:szCs w:val="32"/>
        </w:rPr>
      </w:pPr>
      <w:r>
        <w:rPr>
          <w:rFonts w:hint="eastAsia" w:ascii="仿宋_GB2312" w:hAnsi="宋体" w:eastAsia="仿宋_GB2312"/>
          <w:b/>
          <w:bCs/>
          <w:sz w:val="32"/>
          <w:szCs w:val="32"/>
        </w:rPr>
        <w:t>第二十三条</w:t>
      </w:r>
      <w:r>
        <w:rPr>
          <w:rFonts w:hint="eastAsia" w:ascii="仿宋_GB2312" w:eastAsia="仿宋_GB2312"/>
          <w:sz w:val="32"/>
          <w:szCs w:val="32"/>
        </w:rPr>
        <w:t xml:space="preserve"> </w:t>
      </w:r>
      <w:r>
        <w:rPr>
          <w:rFonts w:hint="eastAsia" w:ascii="仿宋_GB2312" w:hAnsi="宋体" w:eastAsia="仿宋_GB2312"/>
          <w:sz w:val="32"/>
          <w:szCs w:val="32"/>
        </w:rPr>
        <w:t>新开课教师、学生评教和专家评教不合格的教师必须参加教师培训。教师培训的内容如下：</w:t>
      </w:r>
    </w:p>
    <w:p>
      <w:pPr>
        <w:spacing w:line="600" w:lineRule="exact"/>
        <w:ind w:firstLine="640" w:firstLineChars="200"/>
        <w:rPr>
          <w:rFonts w:hint="eastAsia" w:ascii="仿宋_GB2312" w:eastAsia="仿宋_GB2312"/>
          <w:sz w:val="32"/>
          <w:szCs w:val="32"/>
        </w:rPr>
      </w:pPr>
      <w:r>
        <w:rPr>
          <w:rFonts w:hint="eastAsia" w:ascii="仿宋_GB2312" w:hAnsi="宋体" w:eastAsia="仿宋_GB2312"/>
          <w:sz w:val="32"/>
          <w:szCs w:val="32"/>
        </w:rPr>
        <w:t>（一）高等教育理论培训。主要包括高等教育学、高等教育心理学等。</w:t>
      </w:r>
    </w:p>
    <w:p>
      <w:pPr>
        <w:spacing w:line="600" w:lineRule="exact"/>
        <w:ind w:firstLine="640" w:firstLineChars="200"/>
        <w:rPr>
          <w:rFonts w:hint="eastAsia" w:ascii="仿宋_GB2312" w:eastAsia="仿宋_GB2312"/>
          <w:sz w:val="32"/>
          <w:szCs w:val="32"/>
        </w:rPr>
      </w:pPr>
      <w:r>
        <w:rPr>
          <w:rFonts w:hint="eastAsia" w:ascii="仿宋_GB2312" w:hAnsi="宋体" w:eastAsia="仿宋_GB2312"/>
          <w:sz w:val="32"/>
          <w:szCs w:val="32"/>
        </w:rPr>
        <w:t>（二）教学方法培训。主要包括教学带头人讲坛、示范教学、教学法讲座等。</w:t>
      </w:r>
    </w:p>
    <w:p>
      <w:pPr>
        <w:spacing w:line="600" w:lineRule="exact"/>
        <w:ind w:firstLine="640" w:firstLineChars="200"/>
        <w:rPr>
          <w:rFonts w:hint="eastAsia" w:ascii="仿宋_GB2312" w:eastAsia="仿宋_GB2312"/>
          <w:sz w:val="32"/>
          <w:szCs w:val="32"/>
        </w:rPr>
      </w:pPr>
      <w:r>
        <w:rPr>
          <w:rFonts w:hint="eastAsia" w:ascii="仿宋_GB2312" w:hAnsi="宋体" w:eastAsia="仿宋_GB2312"/>
          <w:sz w:val="32"/>
          <w:szCs w:val="32"/>
        </w:rPr>
        <w:t>（三）现代教育技术培训。主要包括多媒体教室的使用技术、多媒体软件制作的原则与方法、多媒体语音室的使用技术、网络资源的利用等。</w:t>
      </w:r>
    </w:p>
    <w:p>
      <w:pPr>
        <w:spacing w:line="600" w:lineRule="exact"/>
        <w:ind w:firstLine="640" w:firstLineChars="200"/>
        <w:rPr>
          <w:rFonts w:hint="eastAsia" w:ascii="仿宋_GB2312" w:eastAsia="仿宋_GB2312"/>
          <w:sz w:val="32"/>
          <w:szCs w:val="32"/>
        </w:rPr>
      </w:pPr>
      <w:r>
        <w:rPr>
          <w:rFonts w:hint="eastAsia" w:ascii="仿宋_GB2312" w:hAnsi="宋体" w:eastAsia="仿宋_GB2312"/>
          <w:sz w:val="32"/>
          <w:szCs w:val="32"/>
        </w:rPr>
        <w:t>（四）教学管理培训。主要包括高等教育管理、高等教育评估等。</w:t>
      </w:r>
    </w:p>
    <w:p>
      <w:pPr>
        <w:spacing w:line="600" w:lineRule="exact"/>
        <w:ind w:firstLine="640" w:firstLineChars="200"/>
        <w:rPr>
          <w:rFonts w:hint="eastAsia" w:ascii="仿宋_GB2312" w:eastAsia="仿宋_GB2312"/>
          <w:sz w:val="32"/>
          <w:szCs w:val="32"/>
        </w:rPr>
      </w:pPr>
      <w:r>
        <w:rPr>
          <w:rFonts w:hint="eastAsia" w:ascii="仿宋_GB2312" w:hAnsi="宋体" w:eastAsia="仿宋_GB2312"/>
          <w:sz w:val="32"/>
          <w:szCs w:val="32"/>
        </w:rPr>
        <w:t>培训结束时要进行考核，考核情况材料存入教师个人业务档案。</w:t>
      </w:r>
    </w:p>
    <w:p>
      <w:pPr>
        <w:spacing w:line="600" w:lineRule="exact"/>
        <w:ind w:firstLine="643" w:firstLineChars="200"/>
        <w:rPr>
          <w:rFonts w:hint="eastAsia" w:ascii="仿宋_GB2312" w:eastAsia="仿宋_GB2312"/>
          <w:sz w:val="32"/>
          <w:szCs w:val="32"/>
        </w:rPr>
      </w:pPr>
      <w:r>
        <w:rPr>
          <w:rFonts w:hint="eastAsia" w:ascii="仿宋_GB2312" w:hAnsi="宋体" w:eastAsia="仿宋_GB2312"/>
          <w:b/>
          <w:bCs/>
          <w:sz w:val="32"/>
          <w:szCs w:val="32"/>
        </w:rPr>
        <w:t>第二十四条</w:t>
      </w:r>
      <w:r>
        <w:rPr>
          <w:rFonts w:hint="eastAsia" w:ascii="仿宋_GB2312" w:eastAsia="仿宋_GB2312"/>
          <w:sz w:val="32"/>
          <w:szCs w:val="32"/>
        </w:rPr>
        <w:t xml:space="preserve"> </w:t>
      </w:r>
      <w:r>
        <w:rPr>
          <w:rFonts w:hint="eastAsia" w:ascii="仿宋_GB2312" w:hAnsi="宋体" w:eastAsia="仿宋_GB2312"/>
          <w:sz w:val="32"/>
          <w:szCs w:val="32"/>
        </w:rPr>
        <w:t>教师培训合格的教师可申请试教。试教程序和要求如下：</w:t>
      </w:r>
    </w:p>
    <w:p>
      <w:pPr>
        <w:spacing w:line="600" w:lineRule="exact"/>
        <w:ind w:firstLine="640" w:firstLineChars="200"/>
        <w:rPr>
          <w:rFonts w:hint="eastAsia" w:ascii="仿宋_GB2312" w:eastAsia="仿宋_GB2312"/>
          <w:sz w:val="32"/>
          <w:szCs w:val="32"/>
        </w:rPr>
      </w:pPr>
      <w:r>
        <w:rPr>
          <w:rFonts w:hint="eastAsia" w:ascii="仿宋_GB2312" w:hAnsi="宋体" w:eastAsia="仿宋_GB2312"/>
          <w:sz w:val="32"/>
          <w:szCs w:val="32"/>
        </w:rPr>
        <w:t>（一）试讲一节课。由各系组织，学院选派教学督导专家</w:t>
      </w:r>
      <w:r>
        <w:rPr>
          <w:rFonts w:hint="eastAsia" w:ascii="仿宋_GB2312" w:eastAsia="仿宋_GB2312"/>
          <w:sz w:val="32"/>
          <w:szCs w:val="32"/>
        </w:rPr>
        <w:t>3—5</w:t>
      </w:r>
      <w:r>
        <w:rPr>
          <w:rFonts w:hint="eastAsia" w:ascii="仿宋_GB2312" w:hAnsi="宋体" w:eastAsia="仿宋_GB2312"/>
          <w:sz w:val="32"/>
          <w:szCs w:val="32"/>
        </w:rPr>
        <w:t>人参加听课和评教。</w:t>
      </w:r>
    </w:p>
    <w:p>
      <w:pPr>
        <w:spacing w:line="600" w:lineRule="exact"/>
        <w:ind w:firstLine="640" w:firstLineChars="200"/>
        <w:rPr>
          <w:rFonts w:hint="eastAsia" w:ascii="仿宋_GB2312" w:eastAsia="仿宋_GB2312"/>
          <w:sz w:val="32"/>
          <w:szCs w:val="32"/>
        </w:rPr>
      </w:pPr>
      <w:r>
        <w:rPr>
          <w:rFonts w:hint="eastAsia" w:ascii="仿宋_GB2312" w:hAnsi="宋体" w:eastAsia="仿宋_GB2312"/>
          <w:sz w:val="32"/>
          <w:szCs w:val="32"/>
        </w:rPr>
        <w:t>（二）教师总结汇报。</w:t>
      </w:r>
    </w:p>
    <w:p>
      <w:pPr>
        <w:spacing w:line="600" w:lineRule="exact"/>
        <w:ind w:firstLine="640" w:firstLineChars="200"/>
        <w:rPr>
          <w:rFonts w:hint="eastAsia" w:ascii="仿宋_GB2312" w:eastAsia="仿宋_GB2312"/>
          <w:sz w:val="32"/>
          <w:szCs w:val="32"/>
        </w:rPr>
      </w:pPr>
      <w:r>
        <w:rPr>
          <w:rFonts w:hint="eastAsia" w:ascii="仿宋_GB2312" w:hAnsi="宋体" w:eastAsia="仿宋_GB2312"/>
          <w:sz w:val="32"/>
          <w:szCs w:val="32"/>
        </w:rPr>
        <w:t>（三）教学督导专家检查教学文件，包括教学大纲、教案、教学进度安排等。</w:t>
      </w:r>
    </w:p>
    <w:p>
      <w:pPr>
        <w:spacing w:line="600" w:lineRule="exact"/>
        <w:ind w:firstLine="640" w:firstLineChars="200"/>
        <w:rPr>
          <w:rFonts w:hint="eastAsia" w:ascii="仿宋_GB2312" w:eastAsia="仿宋_GB2312"/>
          <w:sz w:val="32"/>
          <w:szCs w:val="32"/>
        </w:rPr>
      </w:pPr>
      <w:r>
        <w:rPr>
          <w:rFonts w:hint="eastAsia" w:ascii="仿宋_GB2312" w:hAnsi="宋体" w:eastAsia="仿宋_GB2312"/>
          <w:sz w:val="32"/>
          <w:szCs w:val="32"/>
        </w:rPr>
        <w:t>（四）试教要求达标的指标如下：</w:t>
      </w:r>
    </w:p>
    <w:p>
      <w:pPr>
        <w:spacing w:line="600" w:lineRule="exact"/>
        <w:ind w:firstLine="800" w:firstLineChars="250"/>
        <w:rPr>
          <w:rFonts w:hint="eastAsia" w:ascii="仿宋_GB2312" w:eastAsia="仿宋_GB2312"/>
          <w:sz w:val="32"/>
          <w:szCs w:val="32"/>
        </w:rPr>
      </w:pPr>
      <w:r>
        <w:rPr>
          <w:rFonts w:hint="eastAsia" w:ascii="仿宋_GB2312" w:eastAsia="仿宋_GB2312"/>
          <w:sz w:val="32"/>
          <w:szCs w:val="32"/>
        </w:rPr>
        <w:t>1</w:t>
      </w:r>
      <w:r>
        <w:rPr>
          <w:rFonts w:hint="eastAsia" w:ascii="仿宋_GB2312" w:hAnsi="宋体" w:eastAsia="仿宋_GB2312"/>
          <w:sz w:val="32"/>
          <w:szCs w:val="32"/>
        </w:rPr>
        <w:t>、备课认真，各种教学文件齐全。</w:t>
      </w:r>
    </w:p>
    <w:p>
      <w:pPr>
        <w:spacing w:line="600" w:lineRule="exact"/>
        <w:ind w:firstLine="800" w:firstLineChars="250"/>
        <w:rPr>
          <w:rFonts w:hint="eastAsia" w:ascii="仿宋_GB2312" w:eastAsia="仿宋_GB2312"/>
          <w:sz w:val="32"/>
          <w:szCs w:val="32"/>
        </w:rPr>
      </w:pPr>
      <w:r>
        <w:rPr>
          <w:rFonts w:hint="eastAsia" w:ascii="仿宋_GB2312" w:eastAsia="仿宋_GB2312"/>
          <w:sz w:val="32"/>
          <w:szCs w:val="32"/>
        </w:rPr>
        <w:t>2</w:t>
      </w:r>
      <w:r>
        <w:rPr>
          <w:rFonts w:hint="eastAsia" w:ascii="仿宋_GB2312" w:hAnsi="宋体" w:eastAsia="仿宋_GB2312"/>
          <w:sz w:val="32"/>
          <w:szCs w:val="32"/>
        </w:rPr>
        <w:t>、讲课思路清晰，概念准确，层次分明，突出重点，深广度适宜。</w:t>
      </w:r>
    </w:p>
    <w:p>
      <w:pPr>
        <w:spacing w:line="600" w:lineRule="exact"/>
        <w:ind w:firstLine="800" w:firstLineChars="250"/>
        <w:rPr>
          <w:rFonts w:hint="eastAsia" w:ascii="仿宋_GB2312" w:eastAsia="仿宋_GB2312"/>
          <w:sz w:val="32"/>
          <w:szCs w:val="32"/>
        </w:rPr>
      </w:pPr>
      <w:r>
        <w:rPr>
          <w:rFonts w:hint="eastAsia" w:ascii="仿宋_GB2312" w:eastAsia="仿宋_GB2312"/>
          <w:sz w:val="32"/>
          <w:szCs w:val="32"/>
        </w:rPr>
        <w:t>3</w:t>
      </w:r>
      <w:r>
        <w:rPr>
          <w:rFonts w:hint="eastAsia" w:ascii="仿宋_GB2312" w:hAnsi="宋体" w:eastAsia="仿宋_GB2312"/>
          <w:sz w:val="32"/>
          <w:szCs w:val="32"/>
        </w:rPr>
        <w:t>、注意教学方法，启发诱导，调动学生学习积极性，教学手段完备，运用恰当，效果较好。</w:t>
      </w:r>
    </w:p>
    <w:p>
      <w:pPr>
        <w:spacing w:line="600" w:lineRule="exact"/>
        <w:ind w:firstLine="800" w:firstLineChars="250"/>
        <w:rPr>
          <w:rFonts w:hint="eastAsia" w:ascii="仿宋_GB2312" w:eastAsia="仿宋_GB2312"/>
          <w:sz w:val="32"/>
          <w:szCs w:val="32"/>
        </w:rPr>
      </w:pPr>
      <w:r>
        <w:rPr>
          <w:rFonts w:hint="eastAsia" w:ascii="仿宋_GB2312" w:eastAsia="仿宋_GB2312"/>
          <w:sz w:val="32"/>
          <w:szCs w:val="32"/>
        </w:rPr>
        <w:t>4</w:t>
      </w:r>
      <w:r>
        <w:rPr>
          <w:rFonts w:hint="eastAsia" w:ascii="仿宋_GB2312" w:hAnsi="宋体" w:eastAsia="仿宋_GB2312"/>
          <w:sz w:val="32"/>
          <w:szCs w:val="32"/>
        </w:rPr>
        <w:t>、教书育人，从严执教。</w:t>
      </w:r>
    </w:p>
    <w:p>
      <w:pPr>
        <w:spacing w:line="600" w:lineRule="exact"/>
        <w:ind w:firstLine="640" w:firstLineChars="200"/>
        <w:rPr>
          <w:rFonts w:hint="eastAsia" w:ascii="仿宋_GB2312" w:eastAsia="仿宋_GB2312"/>
          <w:sz w:val="32"/>
          <w:szCs w:val="32"/>
        </w:rPr>
      </w:pPr>
      <w:r>
        <w:rPr>
          <w:rFonts w:hint="eastAsia" w:ascii="仿宋_GB2312" w:hAnsi="宋体" w:eastAsia="仿宋_GB2312"/>
          <w:sz w:val="32"/>
          <w:szCs w:val="32"/>
        </w:rPr>
        <w:t>（五）试教成绩合格方可获得授课资格。</w:t>
      </w:r>
    </w:p>
    <w:p>
      <w:pPr>
        <w:pStyle w:val="3"/>
        <w:spacing w:before="0" w:after="0"/>
        <w:jc w:val="center"/>
        <w:rPr>
          <w:rFonts w:hint="eastAsia" w:ascii="黑体" w:eastAsia="黑体"/>
          <w:b w:val="0"/>
        </w:rPr>
      </w:pPr>
      <w:bookmarkStart w:id="14" w:name="_Toc496351332"/>
      <w:bookmarkStart w:id="15" w:name="_Toc496351224"/>
      <w:r>
        <w:rPr>
          <w:rFonts w:hint="eastAsia" w:ascii="黑体" w:eastAsia="黑体"/>
          <w:b w:val="0"/>
        </w:rPr>
        <w:t>第六章 评价结果的使用</w:t>
      </w:r>
      <w:bookmarkEnd w:id="14"/>
      <w:bookmarkEnd w:id="15"/>
    </w:p>
    <w:p>
      <w:pPr>
        <w:spacing w:line="600" w:lineRule="exact"/>
        <w:ind w:firstLine="643" w:firstLineChars="200"/>
        <w:rPr>
          <w:rFonts w:hint="eastAsia" w:ascii="仿宋_GB2312" w:eastAsia="仿宋_GB2312"/>
          <w:sz w:val="32"/>
          <w:szCs w:val="32"/>
        </w:rPr>
      </w:pPr>
      <w:r>
        <w:rPr>
          <w:rFonts w:hint="eastAsia" w:ascii="仿宋_GB2312" w:hAnsi="宋体" w:eastAsia="仿宋_GB2312"/>
          <w:b/>
          <w:bCs/>
          <w:sz w:val="32"/>
          <w:szCs w:val="32"/>
        </w:rPr>
        <w:t>第二十五条</w:t>
      </w:r>
      <w:r>
        <w:rPr>
          <w:rFonts w:hint="eastAsia" w:ascii="仿宋_GB2312" w:eastAsia="仿宋_GB2312"/>
          <w:b/>
          <w:bCs/>
          <w:sz w:val="32"/>
          <w:szCs w:val="32"/>
        </w:rPr>
        <w:t xml:space="preserve"> </w:t>
      </w:r>
      <w:r>
        <w:rPr>
          <w:rFonts w:hint="eastAsia" w:ascii="仿宋_GB2312" w:hAnsi="宋体" w:eastAsia="仿宋_GB2312"/>
          <w:sz w:val="32"/>
          <w:szCs w:val="32"/>
        </w:rPr>
        <w:t>为了激励教师的教学积极性，教学质量评价结果作为评职的参考条件。</w:t>
      </w:r>
    </w:p>
    <w:p>
      <w:pPr>
        <w:spacing w:line="600" w:lineRule="exact"/>
        <w:ind w:firstLine="643" w:firstLineChars="200"/>
        <w:rPr>
          <w:rFonts w:hint="eastAsia" w:ascii="仿宋_GB2312" w:eastAsia="仿宋_GB2312"/>
          <w:sz w:val="32"/>
          <w:szCs w:val="32"/>
        </w:rPr>
      </w:pPr>
      <w:r>
        <w:rPr>
          <w:rFonts w:hint="eastAsia" w:ascii="仿宋_GB2312" w:hAnsi="宋体" w:eastAsia="仿宋_GB2312"/>
          <w:b/>
          <w:bCs/>
          <w:sz w:val="32"/>
          <w:szCs w:val="32"/>
        </w:rPr>
        <w:t>第二十六条</w:t>
      </w:r>
      <w:r>
        <w:rPr>
          <w:rFonts w:hint="eastAsia" w:ascii="仿宋_GB2312" w:eastAsia="仿宋_GB2312"/>
          <w:sz w:val="32"/>
          <w:szCs w:val="32"/>
        </w:rPr>
        <w:t xml:space="preserve"> </w:t>
      </w:r>
      <w:r>
        <w:rPr>
          <w:rFonts w:hint="eastAsia" w:ascii="仿宋_GB2312" w:hAnsi="宋体" w:eastAsia="仿宋_GB2312"/>
          <w:sz w:val="32"/>
          <w:szCs w:val="32"/>
        </w:rPr>
        <w:t>教师教学质量评价结果是参加学院教学优秀奖评审的必要条件，教学优秀奖申报者的学生评教和专家评教结果必须达到优秀。</w:t>
      </w:r>
    </w:p>
    <w:p>
      <w:pPr>
        <w:spacing w:line="600" w:lineRule="exact"/>
        <w:ind w:firstLine="643" w:firstLineChars="200"/>
        <w:rPr>
          <w:rFonts w:hint="eastAsia" w:ascii="仿宋_GB2312" w:eastAsia="仿宋_GB2312"/>
          <w:sz w:val="32"/>
          <w:szCs w:val="32"/>
        </w:rPr>
      </w:pPr>
      <w:r>
        <w:rPr>
          <w:rFonts w:hint="eastAsia" w:ascii="仿宋_GB2312" w:hAnsi="宋体" w:eastAsia="仿宋_GB2312"/>
          <w:b/>
          <w:bCs/>
          <w:sz w:val="32"/>
          <w:szCs w:val="32"/>
        </w:rPr>
        <w:t>第二十七条</w:t>
      </w:r>
      <w:r>
        <w:rPr>
          <w:rFonts w:hint="eastAsia" w:ascii="仿宋_GB2312" w:eastAsia="仿宋_GB2312"/>
          <w:b/>
          <w:bCs/>
          <w:sz w:val="32"/>
          <w:szCs w:val="32"/>
        </w:rPr>
        <w:t xml:space="preserve"> </w:t>
      </w:r>
      <w:r>
        <w:rPr>
          <w:rFonts w:hint="eastAsia" w:ascii="仿宋_GB2312" w:hAnsi="宋体" w:eastAsia="仿宋_GB2312"/>
          <w:sz w:val="32"/>
          <w:szCs w:val="32"/>
        </w:rPr>
        <w:t>评教结果是教师年度考核的基本依据之一，对于连续二年评估不合格的教师，应停止其开课资格。</w:t>
      </w:r>
    </w:p>
    <w:p>
      <w:pPr>
        <w:spacing w:line="600" w:lineRule="exact"/>
        <w:ind w:firstLine="643" w:firstLineChars="200"/>
        <w:rPr>
          <w:rFonts w:hint="eastAsia" w:ascii="仿宋_GB2312" w:eastAsia="仿宋_GB2312"/>
          <w:sz w:val="32"/>
          <w:szCs w:val="32"/>
        </w:rPr>
      </w:pPr>
      <w:r>
        <w:rPr>
          <w:rFonts w:hint="eastAsia" w:ascii="仿宋_GB2312" w:hAnsi="宋体" w:eastAsia="仿宋_GB2312"/>
          <w:b/>
          <w:bCs/>
          <w:sz w:val="32"/>
          <w:szCs w:val="32"/>
        </w:rPr>
        <w:t>第二十八条</w:t>
      </w:r>
      <w:r>
        <w:rPr>
          <w:rFonts w:hint="eastAsia" w:ascii="仿宋_GB2312" w:eastAsia="仿宋_GB2312"/>
          <w:b/>
          <w:bCs/>
          <w:sz w:val="32"/>
          <w:szCs w:val="32"/>
        </w:rPr>
        <w:t xml:space="preserve"> </w:t>
      </w:r>
      <w:r>
        <w:rPr>
          <w:rFonts w:hint="eastAsia" w:ascii="仿宋_GB2312" w:hAnsi="宋体" w:eastAsia="仿宋_GB2312"/>
          <w:sz w:val="32"/>
          <w:szCs w:val="32"/>
        </w:rPr>
        <w:t>对于连续三年没有取得授课资格的教师，建议由人事处安排其它工作。</w:t>
      </w:r>
    </w:p>
    <w:p>
      <w:pPr>
        <w:pStyle w:val="3"/>
        <w:spacing w:before="0" w:after="0"/>
        <w:jc w:val="center"/>
        <w:rPr>
          <w:rFonts w:hint="eastAsia" w:ascii="黑体" w:eastAsia="黑体"/>
          <w:b w:val="0"/>
        </w:rPr>
      </w:pPr>
      <w:bookmarkStart w:id="16" w:name="_Toc496351225"/>
      <w:bookmarkStart w:id="17" w:name="_Toc496351333"/>
      <w:r>
        <w:rPr>
          <w:rFonts w:hint="eastAsia" w:ascii="黑体" w:eastAsia="黑体"/>
          <w:b w:val="0"/>
        </w:rPr>
        <w:t>第七章 附则</w:t>
      </w:r>
      <w:bookmarkEnd w:id="16"/>
      <w:bookmarkEnd w:id="17"/>
    </w:p>
    <w:p>
      <w:pPr>
        <w:spacing w:line="600" w:lineRule="exact"/>
        <w:ind w:firstLine="643" w:firstLineChars="200"/>
        <w:rPr>
          <w:rFonts w:hint="eastAsia" w:ascii="仿宋_GB2312" w:eastAsia="仿宋_GB2312"/>
          <w:sz w:val="32"/>
          <w:szCs w:val="32"/>
        </w:rPr>
      </w:pPr>
      <w:r>
        <w:rPr>
          <w:rFonts w:hint="eastAsia" w:ascii="仿宋_GB2312" w:hAnsi="宋体" w:eastAsia="仿宋_GB2312"/>
          <w:b/>
          <w:bCs/>
          <w:sz w:val="32"/>
          <w:szCs w:val="32"/>
        </w:rPr>
        <w:t>第二十九条</w:t>
      </w:r>
      <w:r>
        <w:rPr>
          <w:rFonts w:hint="eastAsia" w:ascii="仿宋_GB2312" w:eastAsia="仿宋_GB2312"/>
          <w:sz w:val="32"/>
          <w:szCs w:val="32"/>
        </w:rPr>
        <w:t xml:space="preserve"> </w:t>
      </w:r>
      <w:r>
        <w:rPr>
          <w:rFonts w:hint="eastAsia" w:ascii="仿宋_GB2312" w:hAnsi="宋体" w:eastAsia="仿宋_GB2312"/>
          <w:sz w:val="32"/>
          <w:szCs w:val="32"/>
        </w:rPr>
        <w:t>本办法自下发之日起执行。</w:t>
      </w:r>
    </w:p>
    <w:p>
      <w:pPr>
        <w:spacing w:line="600" w:lineRule="exact"/>
        <w:ind w:firstLine="643" w:firstLineChars="200"/>
        <w:rPr>
          <w:rFonts w:hint="eastAsia" w:ascii="仿宋_GB2312" w:eastAsia="仿宋_GB2312"/>
          <w:sz w:val="32"/>
          <w:szCs w:val="32"/>
        </w:rPr>
      </w:pPr>
      <w:r>
        <w:rPr>
          <w:rFonts w:hint="eastAsia" w:ascii="仿宋_GB2312" w:hAnsi="宋体" w:eastAsia="仿宋_GB2312"/>
          <w:b/>
          <w:bCs/>
          <w:sz w:val="32"/>
          <w:szCs w:val="32"/>
        </w:rPr>
        <w:t>第三十条</w:t>
      </w:r>
      <w:r>
        <w:rPr>
          <w:rFonts w:hint="eastAsia" w:ascii="仿宋_GB2312" w:eastAsia="仿宋_GB2312"/>
          <w:sz w:val="32"/>
          <w:szCs w:val="32"/>
        </w:rPr>
        <w:t xml:space="preserve"> </w:t>
      </w:r>
      <w:r>
        <w:rPr>
          <w:rFonts w:hint="eastAsia" w:ascii="仿宋_GB2312" w:hAnsi="宋体" w:eastAsia="仿宋_GB2312"/>
          <w:sz w:val="32"/>
          <w:szCs w:val="32"/>
        </w:rPr>
        <w:t>本办法由学院教学委员会负责解释。</w:t>
      </w:r>
    </w:p>
    <w:p>
      <w:pPr>
        <w:spacing w:line="600" w:lineRule="exact"/>
        <w:ind w:left="6985" w:leftChars="50" w:hanging="6880" w:hangingChars="2150"/>
        <w:rPr>
          <w:rFonts w:hint="eastAsia" w:ascii="仿宋_GB2312" w:eastAsia="仿宋_GB2312"/>
          <w:sz w:val="32"/>
          <w:szCs w:val="32"/>
        </w:rPr>
      </w:pPr>
      <w:r>
        <w:rPr>
          <w:rFonts w:hint="eastAsia" w:ascii="仿宋_GB2312" w:eastAsia="仿宋_GB2312"/>
          <w:sz w:val="32"/>
          <w:szCs w:val="32"/>
        </w:rPr>
        <w:t xml:space="preserve">          </w:t>
      </w:r>
      <w:r>
        <w:rPr>
          <w:rFonts w:hint="eastAsia" w:ascii="仿宋_GB2312" w:hAnsi="宋体" w:eastAsia="仿宋_GB2312"/>
          <w:sz w:val="32"/>
          <w:szCs w:val="32"/>
        </w:rPr>
        <w:t xml:space="preserve">                              法学院</w:t>
      </w:r>
    </w:p>
    <w:p>
      <w:pPr>
        <w:pStyle w:val="18"/>
        <w:spacing w:before="0" w:beforeAutospacing="0" w:after="0" w:afterAutospacing="0" w:line="600" w:lineRule="exact"/>
        <w:jc w:val="right"/>
        <w:rPr>
          <w:rStyle w:val="22"/>
          <w:rFonts w:hint="eastAsia" w:ascii="仿宋_GB2312" w:hAnsi="Times New Roman" w:eastAsia="仿宋_GB2312" w:cs="Times New Roman"/>
          <w:b w:val="0"/>
          <w:sz w:val="32"/>
          <w:szCs w:val="32"/>
        </w:rPr>
      </w:pPr>
      <w:r>
        <w:rPr>
          <w:rStyle w:val="22"/>
          <w:rFonts w:hint="eastAsia" w:ascii="仿宋_GB2312" w:hAnsi="Times New Roman" w:eastAsia="仿宋_GB2312" w:cs="Times New Roman"/>
          <w:b w:val="0"/>
          <w:sz w:val="32"/>
          <w:szCs w:val="32"/>
        </w:rPr>
        <w:t xml:space="preserve">  </w:t>
      </w:r>
      <w:bookmarkStart w:id="90" w:name="_GoBack"/>
      <w:bookmarkEnd w:id="90"/>
      <w:r>
        <w:rPr>
          <w:rStyle w:val="22"/>
          <w:rFonts w:hint="eastAsia" w:ascii="仿宋_GB2312" w:hAnsi="Verdana" w:eastAsia="仿宋_GB2312" w:cs="Times New Roman"/>
          <w:b w:val="0"/>
          <w:sz w:val="32"/>
          <w:szCs w:val="32"/>
          <w:lang w:eastAsia="zh-CN"/>
        </w:rPr>
        <w:t>二〇二一</w:t>
      </w:r>
      <w:r>
        <w:rPr>
          <w:rStyle w:val="22"/>
          <w:rFonts w:hint="eastAsia" w:ascii="仿宋_GB2312" w:hAnsi="Verdana" w:eastAsia="仿宋_GB2312" w:cs="Times New Roman"/>
          <w:b w:val="0"/>
          <w:sz w:val="32"/>
          <w:szCs w:val="32"/>
        </w:rPr>
        <w:t>年三月十日</w:t>
      </w:r>
    </w:p>
    <w:p>
      <w:pPr>
        <w:pStyle w:val="3"/>
        <w:spacing w:after="0" w:line="600" w:lineRule="exact"/>
        <w:jc w:val="center"/>
        <w:rPr>
          <w:rFonts w:hint="eastAsia" w:ascii="仿宋_GB2312" w:eastAsia="仿宋_GB2312"/>
        </w:rPr>
      </w:pPr>
      <w:bookmarkStart w:id="18" w:name="_Toc484180112"/>
    </w:p>
    <w:p>
      <w:pPr>
        <w:pStyle w:val="3"/>
        <w:spacing w:after="0" w:line="600" w:lineRule="exact"/>
        <w:jc w:val="center"/>
        <w:rPr>
          <w:rFonts w:hint="eastAsia" w:ascii="方正小标宋简体" w:hAnsi="Times New Roman" w:eastAsia="方正小标宋简体" w:cs="Times New Roman"/>
          <w:b w:val="0"/>
          <w:sz w:val="44"/>
          <w:szCs w:val="44"/>
        </w:rPr>
      </w:pPr>
      <w:bookmarkStart w:id="19" w:name="_Toc496351334"/>
      <w:bookmarkStart w:id="20" w:name="_Toc496351226"/>
      <w:r>
        <w:rPr>
          <w:rFonts w:hint="eastAsia" w:ascii="方正小标宋简体" w:hAnsi="Times New Roman" w:eastAsia="方正小标宋简体" w:cs="Times New Roman"/>
          <w:b w:val="0"/>
          <w:sz w:val="44"/>
          <w:szCs w:val="44"/>
        </w:rPr>
        <w:t>法学院本科教学质量内部保障办法</w:t>
      </w:r>
      <w:bookmarkEnd w:id="18"/>
      <w:bookmarkEnd w:id="19"/>
      <w:bookmarkEnd w:id="20"/>
    </w:p>
    <w:p>
      <w:pPr>
        <w:spacing w:line="600" w:lineRule="exact"/>
        <w:ind w:firstLine="640" w:firstLineChars="200"/>
        <w:rPr>
          <w:rFonts w:hint="eastAsia" w:ascii="仿宋_GB2312" w:eastAsia="仿宋_GB2312"/>
          <w:bCs/>
          <w:sz w:val="32"/>
          <w:szCs w:val="32"/>
        </w:rPr>
      </w:pPr>
    </w:p>
    <w:p>
      <w:pPr>
        <w:spacing w:line="600" w:lineRule="exact"/>
        <w:ind w:firstLine="640" w:firstLineChars="200"/>
        <w:rPr>
          <w:rFonts w:hint="eastAsia" w:ascii="仿宋_GB2312" w:eastAsia="仿宋_GB2312"/>
          <w:bCs/>
          <w:sz w:val="32"/>
          <w:szCs w:val="32"/>
        </w:rPr>
      </w:pPr>
      <w:r>
        <w:rPr>
          <w:rFonts w:hint="eastAsia" w:ascii="仿宋_GB2312" w:eastAsia="仿宋_GB2312"/>
          <w:bCs/>
          <w:sz w:val="32"/>
          <w:szCs w:val="32"/>
        </w:rPr>
        <w:t>为确保我院人才培养目标的实现，把教学质量保障工作制度化，根据教育部有关文件精神和我校有关教学管理规定，制定本办法。</w:t>
      </w:r>
    </w:p>
    <w:p>
      <w:pPr>
        <w:pStyle w:val="4"/>
        <w:spacing w:before="0" w:after="0" w:line="415" w:lineRule="auto"/>
        <w:ind w:firstLine="640" w:firstLineChars="200"/>
        <w:rPr>
          <w:rFonts w:hint="eastAsia" w:ascii="黑体" w:eastAsia="黑体"/>
          <w:b w:val="0"/>
        </w:rPr>
      </w:pPr>
      <w:bookmarkStart w:id="21" w:name="_Toc496351335"/>
      <w:bookmarkStart w:id="22" w:name="_Toc496351227"/>
      <w:r>
        <w:rPr>
          <w:rFonts w:hint="eastAsia" w:ascii="黑体" w:eastAsia="黑体"/>
          <w:b w:val="0"/>
        </w:rPr>
        <w:t>一、总则</w:t>
      </w:r>
      <w:bookmarkEnd w:id="21"/>
      <w:bookmarkEnd w:id="22"/>
    </w:p>
    <w:p>
      <w:pPr>
        <w:spacing w:line="600" w:lineRule="exact"/>
        <w:ind w:firstLine="643" w:firstLineChars="200"/>
        <w:rPr>
          <w:rFonts w:hint="eastAsia" w:ascii="仿宋_GB2312" w:eastAsia="仿宋_GB2312"/>
          <w:bCs/>
          <w:sz w:val="32"/>
          <w:szCs w:val="32"/>
        </w:rPr>
      </w:pPr>
      <w:r>
        <w:rPr>
          <w:rFonts w:hint="eastAsia" w:ascii="仿宋_GB2312" w:eastAsia="仿宋_GB2312"/>
          <w:b/>
          <w:bCs/>
          <w:sz w:val="32"/>
          <w:szCs w:val="32"/>
        </w:rPr>
        <w:t>第一条</w:t>
      </w:r>
      <w:r>
        <w:rPr>
          <w:rFonts w:hint="eastAsia" w:ascii="仿宋_GB2312" w:eastAsia="仿宋_GB2312"/>
          <w:bCs/>
          <w:sz w:val="32"/>
          <w:szCs w:val="32"/>
        </w:rPr>
        <w:tab/>
      </w:r>
      <w:r>
        <w:rPr>
          <w:rFonts w:hint="eastAsia" w:ascii="仿宋_GB2312" w:eastAsia="仿宋_GB2312"/>
          <w:bCs/>
          <w:sz w:val="32"/>
          <w:szCs w:val="32"/>
        </w:rPr>
        <w:t xml:space="preserve"> 建立科学、规范的本科教学质量保障体系，是学校在本科教育发展新形势下，提高人才培养质量、提升办学能力的重要保证。</w:t>
      </w:r>
    </w:p>
    <w:p>
      <w:pPr>
        <w:spacing w:line="600" w:lineRule="exact"/>
        <w:ind w:firstLine="643" w:firstLineChars="200"/>
        <w:rPr>
          <w:rFonts w:hint="eastAsia" w:ascii="仿宋_GB2312" w:eastAsia="仿宋_GB2312"/>
          <w:bCs/>
          <w:sz w:val="32"/>
          <w:szCs w:val="32"/>
        </w:rPr>
      </w:pPr>
      <w:r>
        <w:rPr>
          <w:rFonts w:hint="eastAsia" w:ascii="仿宋_GB2312" w:eastAsia="仿宋_GB2312"/>
          <w:b/>
          <w:bCs/>
          <w:sz w:val="32"/>
          <w:szCs w:val="32"/>
        </w:rPr>
        <w:t>第二条</w:t>
      </w:r>
      <w:r>
        <w:rPr>
          <w:rFonts w:hint="eastAsia" w:ascii="仿宋_GB2312" w:eastAsia="仿宋_GB2312"/>
          <w:bCs/>
          <w:sz w:val="32"/>
          <w:szCs w:val="32"/>
        </w:rPr>
        <w:t xml:space="preserve"> 教学质量保障体系，是监督、检查和评价教学活动、教学过程、教学环节的各子系统的总和。</w:t>
      </w:r>
    </w:p>
    <w:p>
      <w:pPr>
        <w:spacing w:line="600" w:lineRule="exact"/>
        <w:ind w:firstLine="643" w:firstLineChars="200"/>
        <w:rPr>
          <w:rFonts w:hint="eastAsia" w:ascii="仿宋_GB2312" w:eastAsia="仿宋_GB2312"/>
          <w:bCs/>
          <w:sz w:val="32"/>
          <w:szCs w:val="32"/>
        </w:rPr>
      </w:pPr>
      <w:r>
        <w:rPr>
          <w:rFonts w:hint="eastAsia" w:ascii="仿宋_GB2312" w:eastAsia="仿宋_GB2312"/>
          <w:b/>
          <w:bCs/>
          <w:sz w:val="32"/>
          <w:szCs w:val="32"/>
        </w:rPr>
        <w:t>第三条</w:t>
      </w:r>
      <w:r>
        <w:rPr>
          <w:rFonts w:hint="eastAsia" w:ascii="仿宋_GB2312" w:eastAsia="仿宋_GB2312"/>
          <w:bCs/>
          <w:sz w:val="32"/>
          <w:szCs w:val="32"/>
        </w:rPr>
        <w:tab/>
      </w:r>
      <w:r>
        <w:rPr>
          <w:rFonts w:hint="eastAsia" w:ascii="仿宋_GB2312" w:eastAsia="仿宋_GB2312"/>
          <w:bCs/>
          <w:sz w:val="32"/>
          <w:szCs w:val="32"/>
        </w:rPr>
        <w:t xml:space="preserve"> 教学质量保障，是围绕培养具有创新精神、实践能力的高素质人才而开展工作。</w:t>
      </w:r>
    </w:p>
    <w:p>
      <w:pPr>
        <w:spacing w:line="600" w:lineRule="exact"/>
        <w:ind w:firstLine="643" w:firstLineChars="200"/>
        <w:rPr>
          <w:rFonts w:hint="eastAsia" w:ascii="仿宋_GB2312" w:eastAsia="仿宋_GB2312"/>
          <w:bCs/>
          <w:sz w:val="32"/>
          <w:szCs w:val="32"/>
        </w:rPr>
      </w:pPr>
      <w:r>
        <w:rPr>
          <w:rFonts w:hint="eastAsia" w:ascii="仿宋_GB2312" w:eastAsia="仿宋_GB2312"/>
          <w:b/>
          <w:bCs/>
          <w:sz w:val="32"/>
          <w:szCs w:val="32"/>
        </w:rPr>
        <w:t>第四条</w:t>
      </w:r>
      <w:r>
        <w:rPr>
          <w:rFonts w:hint="eastAsia" w:ascii="仿宋_GB2312" w:eastAsia="仿宋_GB2312"/>
          <w:bCs/>
          <w:sz w:val="32"/>
          <w:szCs w:val="32"/>
        </w:rPr>
        <w:tab/>
      </w:r>
      <w:r>
        <w:rPr>
          <w:rFonts w:hint="eastAsia" w:ascii="仿宋_GB2312" w:eastAsia="仿宋_GB2312"/>
          <w:bCs/>
          <w:sz w:val="32"/>
          <w:szCs w:val="32"/>
        </w:rPr>
        <w:t xml:space="preserve"> 教学质量保障包括教学监控和教学激励两个方面的内容。</w:t>
      </w:r>
    </w:p>
    <w:p>
      <w:pPr>
        <w:pStyle w:val="4"/>
        <w:spacing w:before="0" w:after="0" w:line="415" w:lineRule="auto"/>
        <w:ind w:firstLine="640" w:firstLineChars="200"/>
        <w:rPr>
          <w:rFonts w:hint="eastAsia" w:ascii="黑体" w:eastAsia="黑体"/>
          <w:b w:val="0"/>
        </w:rPr>
      </w:pPr>
      <w:bookmarkStart w:id="23" w:name="_Toc496351228"/>
      <w:bookmarkStart w:id="24" w:name="_Toc496351336"/>
      <w:r>
        <w:rPr>
          <w:rFonts w:hint="eastAsia" w:ascii="黑体" w:eastAsia="黑体"/>
          <w:b w:val="0"/>
        </w:rPr>
        <w:t>二、监控内容</w:t>
      </w:r>
      <w:bookmarkEnd w:id="23"/>
      <w:bookmarkEnd w:id="24"/>
    </w:p>
    <w:p>
      <w:pPr>
        <w:spacing w:line="600" w:lineRule="exact"/>
        <w:ind w:firstLine="643" w:firstLineChars="200"/>
        <w:rPr>
          <w:rFonts w:hint="eastAsia" w:ascii="仿宋_GB2312" w:eastAsia="仿宋_GB2312"/>
          <w:bCs/>
          <w:sz w:val="32"/>
          <w:szCs w:val="32"/>
        </w:rPr>
      </w:pPr>
      <w:r>
        <w:rPr>
          <w:rFonts w:hint="eastAsia" w:ascii="仿宋_GB2312" w:eastAsia="仿宋_GB2312"/>
          <w:b/>
          <w:bCs/>
          <w:sz w:val="32"/>
          <w:szCs w:val="32"/>
        </w:rPr>
        <w:t>第五条</w:t>
      </w:r>
      <w:r>
        <w:rPr>
          <w:rFonts w:hint="eastAsia" w:ascii="仿宋_GB2312" w:eastAsia="仿宋_GB2312"/>
          <w:bCs/>
          <w:sz w:val="32"/>
          <w:szCs w:val="32"/>
        </w:rPr>
        <w:t xml:space="preserve"> 教学质量监控内容主要包括以下几个方面：</w:t>
      </w:r>
    </w:p>
    <w:p>
      <w:pPr>
        <w:spacing w:line="600" w:lineRule="exact"/>
        <w:ind w:firstLine="640" w:firstLineChars="200"/>
        <w:rPr>
          <w:rFonts w:hint="eastAsia" w:ascii="仿宋_GB2312" w:eastAsia="仿宋_GB2312"/>
          <w:bCs/>
          <w:sz w:val="32"/>
          <w:szCs w:val="32"/>
        </w:rPr>
      </w:pPr>
      <w:r>
        <w:rPr>
          <w:rFonts w:hint="eastAsia" w:ascii="仿宋_GB2312" w:eastAsia="仿宋_GB2312"/>
          <w:bCs/>
          <w:sz w:val="32"/>
          <w:szCs w:val="32"/>
        </w:rPr>
        <w:t>（一）课堂教学质量监控。主要包括课程教案、教学课件、教材、教学态度、教学内容、教学手段、教学效果等内容。</w:t>
      </w:r>
    </w:p>
    <w:p>
      <w:pPr>
        <w:spacing w:line="600" w:lineRule="exact"/>
        <w:ind w:firstLine="640" w:firstLineChars="200"/>
        <w:rPr>
          <w:rFonts w:hint="eastAsia" w:ascii="仿宋_GB2312" w:eastAsia="仿宋_GB2312"/>
          <w:bCs/>
          <w:sz w:val="32"/>
          <w:szCs w:val="32"/>
        </w:rPr>
      </w:pPr>
      <w:r>
        <w:rPr>
          <w:rFonts w:hint="eastAsia" w:ascii="仿宋_GB2312" w:eastAsia="仿宋_GB2312"/>
          <w:bCs/>
          <w:sz w:val="32"/>
          <w:szCs w:val="32"/>
        </w:rPr>
        <w:t>（二）课外教学质量监控。包括开新课和新开课师资审定、课外作业、课外答疑、课程试卷、课程成绩等内容。</w:t>
      </w:r>
    </w:p>
    <w:p>
      <w:pPr>
        <w:spacing w:line="600" w:lineRule="exact"/>
        <w:ind w:firstLine="640" w:firstLineChars="200"/>
        <w:rPr>
          <w:rFonts w:hint="eastAsia" w:ascii="仿宋_GB2312" w:eastAsia="仿宋_GB2312"/>
          <w:bCs/>
          <w:sz w:val="32"/>
          <w:szCs w:val="32"/>
        </w:rPr>
      </w:pPr>
      <w:r>
        <w:rPr>
          <w:rFonts w:hint="eastAsia" w:ascii="仿宋_GB2312" w:eastAsia="仿宋_GB2312"/>
          <w:bCs/>
          <w:sz w:val="32"/>
          <w:szCs w:val="32"/>
        </w:rPr>
        <w:t>（三）实践教学质量监控。主要包括实践课程讲授、实践辅导、实践报告、实践效果等内容。</w:t>
      </w:r>
    </w:p>
    <w:p>
      <w:pPr>
        <w:spacing w:line="600" w:lineRule="exact"/>
        <w:ind w:firstLine="640" w:firstLineChars="200"/>
        <w:rPr>
          <w:rFonts w:hint="eastAsia" w:ascii="仿宋_GB2312" w:eastAsia="仿宋_GB2312"/>
          <w:bCs/>
          <w:sz w:val="32"/>
          <w:szCs w:val="32"/>
        </w:rPr>
      </w:pPr>
      <w:r>
        <w:rPr>
          <w:rFonts w:hint="eastAsia" w:ascii="仿宋_GB2312" w:eastAsia="仿宋_GB2312"/>
          <w:bCs/>
          <w:sz w:val="32"/>
          <w:szCs w:val="32"/>
        </w:rPr>
        <w:t>（四）实习教学质量监控。主要包括实习计划、实习大纲、指导过程、中期检查、后期成果等内容。</w:t>
      </w:r>
    </w:p>
    <w:p>
      <w:pPr>
        <w:spacing w:line="600" w:lineRule="exact"/>
        <w:ind w:firstLine="640" w:firstLineChars="200"/>
        <w:rPr>
          <w:rFonts w:hint="eastAsia" w:ascii="仿宋_GB2312" w:eastAsia="仿宋_GB2312"/>
          <w:bCs/>
          <w:sz w:val="32"/>
          <w:szCs w:val="32"/>
        </w:rPr>
      </w:pPr>
      <w:r>
        <w:rPr>
          <w:rFonts w:hint="eastAsia" w:ascii="仿宋_GB2312" w:eastAsia="仿宋_GB2312"/>
          <w:bCs/>
          <w:sz w:val="32"/>
          <w:szCs w:val="32"/>
        </w:rPr>
        <w:t>（五）毕业论文质量监控。主要包括开题报告、指导过程、中期检查、后期成果等内容。</w:t>
      </w:r>
    </w:p>
    <w:p>
      <w:pPr>
        <w:pStyle w:val="4"/>
        <w:spacing w:before="0" w:after="0" w:line="415" w:lineRule="auto"/>
        <w:ind w:firstLine="640" w:firstLineChars="200"/>
        <w:rPr>
          <w:rFonts w:hint="eastAsia" w:ascii="黑体" w:eastAsia="黑体"/>
          <w:b w:val="0"/>
        </w:rPr>
      </w:pPr>
      <w:bookmarkStart w:id="25" w:name="_Toc496351229"/>
      <w:bookmarkStart w:id="26" w:name="_Toc496351337"/>
      <w:r>
        <w:rPr>
          <w:rFonts w:hint="eastAsia" w:ascii="黑体" w:eastAsia="黑体"/>
          <w:b w:val="0"/>
        </w:rPr>
        <w:t>三、监控方式</w:t>
      </w:r>
      <w:bookmarkEnd w:id="25"/>
      <w:bookmarkEnd w:id="26"/>
    </w:p>
    <w:p>
      <w:pPr>
        <w:spacing w:line="600" w:lineRule="exact"/>
        <w:ind w:firstLine="643" w:firstLineChars="200"/>
        <w:rPr>
          <w:rFonts w:hint="eastAsia" w:ascii="仿宋_GB2312" w:eastAsia="仿宋_GB2312"/>
          <w:bCs/>
          <w:sz w:val="32"/>
          <w:szCs w:val="32"/>
        </w:rPr>
      </w:pPr>
      <w:r>
        <w:rPr>
          <w:rFonts w:hint="eastAsia" w:ascii="仿宋_GB2312" w:eastAsia="仿宋_GB2312"/>
          <w:b/>
          <w:bCs/>
          <w:sz w:val="32"/>
          <w:szCs w:val="32"/>
        </w:rPr>
        <w:t>第六条</w:t>
      </w:r>
      <w:r>
        <w:rPr>
          <w:rFonts w:hint="eastAsia" w:ascii="仿宋_GB2312" w:eastAsia="仿宋_GB2312"/>
          <w:bCs/>
          <w:sz w:val="32"/>
          <w:szCs w:val="32"/>
        </w:rPr>
        <w:tab/>
      </w:r>
      <w:r>
        <w:rPr>
          <w:rFonts w:hint="eastAsia" w:ascii="仿宋_GB2312" w:eastAsia="仿宋_GB2312"/>
          <w:bCs/>
          <w:sz w:val="32"/>
          <w:szCs w:val="32"/>
        </w:rPr>
        <w:t xml:space="preserve"> 教学质量监控主要方式</w:t>
      </w:r>
    </w:p>
    <w:p>
      <w:pPr>
        <w:spacing w:line="600" w:lineRule="exact"/>
        <w:ind w:firstLine="640" w:firstLineChars="200"/>
        <w:rPr>
          <w:rFonts w:hint="eastAsia" w:ascii="仿宋_GB2312" w:eastAsia="仿宋_GB2312"/>
          <w:bCs/>
          <w:sz w:val="32"/>
          <w:szCs w:val="32"/>
        </w:rPr>
      </w:pPr>
      <w:r>
        <w:rPr>
          <w:rFonts w:hint="eastAsia" w:ascii="仿宋_GB2312" w:eastAsia="仿宋_GB2312"/>
          <w:bCs/>
          <w:sz w:val="32"/>
          <w:szCs w:val="32"/>
        </w:rPr>
        <w:t>（一）听课制。包括：院领导听课；教学督导员听课；各系主任听课。学院成立教学督导委员会，每学期至少开展一次以上教学督导活动。</w:t>
      </w:r>
    </w:p>
    <w:p>
      <w:pPr>
        <w:spacing w:line="600" w:lineRule="exact"/>
        <w:ind w:firstLine="640" w:firstLineChars="200"/>
        <w:rPr>
          <w:rFonts w:hint="eastAsia" w:ascii="仿宋_GB2312" w:eastAsia="仿宋_GB2312"/>
          <w:bCs/>
          <w:sz w:val="32"/>
          <w:szCs w:val="32"/>
        </w:rPr>
      </w:pPr>
      <w:r>
        <w:rPr>
          <w:rFonts w:hint="eastAsia" w:ascii="仿宋_GB2312" w:eastAsia="仿宋_GB2312"/>
          <w:bCs/>
          <w:sz w:val="32"/>
          <w:szCs w:val="32"/>
        </w:rPr>
        <w:t>（二）检查制。建立教学质量检查制度，定期公布教学检查结果。检查主要采取以下方式：</w:t>
      </w:r>
    </w:p>
    <w:p>
      <w:pPr>
        <w:spacing w:line="600" w:lineRule="exact"/>
        <w:ind w:firstLine="800" w:firstLineChars="250"/>
        <w:rPr>
          <w:rFonts w:hint="eastAsia" w:ascii="仿宋_GB2312" w:eastAsia="仿宋_GB2312"/>
          <w:bCs/>
          <w:sz w:val="32"/>
          <w:szCs w:val="32"/>
        </w:rPr>
      </w:pPr>
      <w:r>
        <w:rPr>
          <w:rFonts w:hint="eastAsia" w:ascii="仿宋_GB2312" w:eastAsia="仿宋_GB2312"/>
          <w:bCs/>
          <w:sz w:val="32"/>
          <w:szCs w:val="32"/>
        </w:rPr>
        <w:t>1、教学日常检查：由学院教学管理人员实施教学日常检查工作，分别对学院的教学工作进行常规检查并记录。</w:t>
      </w:r>
    </w:p>
    <w:p>
      <w:pPr>
        <w:spacing w:line="600" w:lineRule="exact"/>
        <w:ind w:firstLine="800" w:firstLineChars="250"/>
        <w:rPr>
          <w:rFonts w:hint="eastAsia" w:ascii="仿宋_GB2312" w:eastAsia="仿宋_GB2312"/>
          <w:bCs/>
          <w:sz w:val="32"/>
          <w:szCs w:val="32"/>
        </w:rPr>
      </w:pPr>
      <w:r>
        <w:rPr>
          <w:rFonts w:hint="eastAsia" w:ascii="仿宋_GB2312" w:eastAsia="仿宋_GB2312"/>
          <w:bCs/>
          <w:sz w:val="32"/>
          <w:szCs w:val="32"/>
        </w:rPr>
        <w:t>2、定期检查：即开展期初、期中、期末教学检查。</w:t>
      </w:r>
    </w:p>
    <w:p>
      <w:pPr>
        <w:spacing w:line="600" w:lineRule="exact"/>
        <w:ind w:firstLine="800" w:firstLineChars="250"/>
        <w:rPr>
          <w:rFonts w:hint="eastAsia" w:ascii="仿宋_GB2312" w:eastAsia="仿宋_GB2312"/>
          <w:bCs/>
          <w:sz w:val="32"/>
          <w:szCs w:val="32"/>
        </w:rPr>
      </w:pPr>
      <w:r>
        <w:rPr>
          <w:rFonts w:hint="eastAsia" w:ascii="仿宋_GB2312" w:eastAsia="仿宋_GB2312"/>
          <w:bCs/>
          <w:sz w:val="32"/>
          <w:szCs w:val="32"/>
        </w:rPr>
        <w:t>3、专项检查：主要包括授课计划检查、教案检查、试卷命题与阅卷的检查等内容。</w:t>
      </w:r>
    </w:p>
    <w:p>
      <w:pPr>
        <w:spacing w:line="600" w:lineRule="exact"/>
        <w:ind w:firstLine="800" w:firstLineChars="250"/>
        <w:rPr>
          <w:rFonts w:hint="eastAsia" w:ascii="仿宋_GB2312" w:eastAsia="仿宋_GB2312"/>
          <w:bCs/>
          <w:sz w:val="32"/>
          <w:szCs w:val="32"/>
        </w:rPr>
      </w:pPr>
      <w:r>
        <w:rPr>
          <w:rFonts w:hint="eastAsia" w:ascii="仿宋_GB2312" w:eastAsia="仿宋_GB2312"/>
          <w:bCs/>
          <w:sz w:val="32"/>
          <w:szCs w:val="32"/>
        </w:rPr>
        <w:t>4、评教评学制。由学生、教师、学院领导分别进行评教评学。从不同角度了解和掌握教师教学情况、学生学习情况、教务管理情况。</w:t>
      </w:r>
    </w:p>
    <w:p>
      <w:pPr>
        <w:pStyle w:val="4"/>
        <w:spacing w:before="0" w:after="0" w:line="415" w:lineRule="auto"/>
        <w:ind w:firstLine="640" w:firstLineChars="200"/>
        <w:rPr>
          <w:rFonts w:hint="eastAsia" w:ascii="黑体" w:eastAsia="黑体"/>
          <w:b w:val="0"/>
        </w:rPr>
      </w:pPr>
      <w:bookmarkStart w:id="27" w:name="_Toc496351230"/>
      <w:bookmarkStart w:id="28" w:name="_Toc496351338"/>
      <w:r>
        <w:rPr>
          <w:rFonts w:hint="eastAsia" w:ascii="黑体" w:eastAsia="黑体"/>
          <w:b w:val="0"/>
        </w:rPr>
        <w:t>四、激励内容与方式</w:t>
      </w:r>
      <w:bookmarkEnd w:id="27"/>
      <w:bookmarkEnd w:id="28"/>
    </w:p>
    <w:p>
      <w:pPr>
        <w:spacing w:line="600" w:lineRule="exact"/>
        <w:ind w:firstLine="643" w:firstLineChars="200"/>
        <w:rPr>
          <w:rFonts w:hint="eastAsia" w:ascii="仿宋_GB2312" w:eastAsia="仿宋_GB2312"/>
          <w:bCs/>
          <w:sz w:val="32"/>
          <w:szCs w:val="32"/>
        </w:rPr>
      </w:pPr>
      <w:r>
        <w:rPr>
          <w:rFonts w:hint="eastAsia" w:ascii="仿宋_GB2312" w:eastAsia="仿宋_GB2312"/>
          <w:b/>
          <w:bCs/>
          <w:sz w:val="32"/>
          <w:szCs w:val="32"/>
        </w:rPr>
        <w:t>第七条</w:t>
      </w:r>
      <w:r>
        <w:rPr>
          <w:rFonts w:hint="eastAsia" w:ascii="仿宋_GB2312" w:eastAsia="仿宋_GB2312"/>
          <w:bCs/>
          <w:sz w:val="32"/>
          <w:szCs w:val="32"/>
        </w:rPr>
        <w:t xml:space="preserve"> 为提升教学质量，学院建立以下激励机制：</w:t>
      </w:r>
    </w:p>
    <w:p>
      <w:pPr>
        <w:spacing w:line="600" w:lineRule="exact"/>
        <w:ind w:firstLine="640" w:firstLineChars="200"/>
        <w:rPr>
          <w:rFonts w:hint="eastAsia" w:ascii="仿宋_GB2312" w:eastAsia="仿宋_GB2312"/>
          <w:bCs/>
          <w:sz w:val="32"/>
          <w:szCs w:val="32"/>
        </w:rPr>
      </w:pPr>
      <w:r>
        <w:rPr>
          <w:rFonts w:hint="eastAsia" w:ascii="仿宋_GB2312" w:eastAsia="仿宋_GB2312"/>
          <w:bCs/>
          <w:sz w:val="32"/>
          <w:szCs w:val="32"/>
        </w:rPr>
        <w:t>（一）教学观摩制度。学院每学期举行一次教学观摩活动。凡事被评为校级以上级别的教学名师和被评为学校教学优秀奖的教师必须提供观摩教学的内容。</w:t>
      </w:r>
    </w:p>
    <w:p>
      <w:pPr>
        <w:spacing w:line="600" w:lineRule="exact"/>
        <w:ind w:firstLine="640" w:firstLineChars="200"/>
        <w:rPr>
          <w:rFonts w:hint="eastAsia" w:ascii="仿宋_GB2312" w:eastAsia="仿宋_GB2312"/>
          <w:bCs/>
          <w:sz w:val="32"/>
          <w:szCs w:val="32"/>
        </w:rPr>
      </w:pPr>
      <w:r>
        <w:rPr>
          <w:rFonts w:hint="eastAsia" w:ascii="仿宋_GB2312" w:eastAsia="仿宋_GB2312"/>
          <w:bCs/>
          <w:sz w:val="32"/>
          <w:szCs w:val="32"/>
        </w:rPr>
        <w:t>（二）青年教师讲课比赛制度。学院每年举行一次青年教师讲课比赛活动。比赛设一等奖一名，二等奖一名，三等奖若干名，并推荐获一等奖的教师参加学校比赛。学院对获一、二、三等奖的教师颁发荣誉证书，并分别奖励2000元、1000元和500元人民币。</w:t>
      </w:r>
    </w:p>
    <w:p>
      <w:pPr>
        <w:spacing w:line="600" w:lineRule="exact"/>
        <w:ind w:firstLine="640" w:firstLineChars="200"/>
        <w:rPr>
          <w:rFonts w:hint="eastAsia" w:ascii="仿宋_GB2312" w:eastAsia="仿宋_GB2312"/>
          <w:bCs/>
          <w:sz w:val="32"/>
          <w:szCs w:val="32"/>
        </w:rPr>
      </w:pPr>
      <w:r>
        <w:rPr>
          <w:rFonts w:hint="eastAsia" w:ascii="仿宋_GB2312" w:eastAsia="仿宋_GB2312"/>
          <w:bCs/>
          <w:sz w:val="32"/>
          <w:szCs w:val="32"/>
        </w:rPr>
        <w:t>（三）教学研究激励制度。学院鼓励教师积极开展教学研究活动，包括申报教学研究课题、精品课程、双语教学、教学团队建设等内容，以提升教学活动的内涵。学院每年拨付10000元经费资助，用于激励开展各项教学研究活动。</w:t>
      </w:r>
    </w:p>
    <w:p>
      <w:pPr>
        <w:spacing w:line="600" w:lineRule="exact"/>
        <w:ind w:firstLine="640" w:firstLineChars="200"/>
        <w:rPr>
          <w:rFonts w:hint="eastAsia" w:ascii="仿宋_GB2312" w:eastAsia="仿宋_GB2312"/>
          <w:bCs/>
          <w:sz w:val="32"/>
          <w:szCs w:val="32"/>
        </w:rPr>
      </w:pPr>
      <w:r>
        <w:rPr>
          <w:rFonts w:hint="eastAsia" w:ascii="仿宋_GB2312" w:eastAsia="仿宋_GB2312"/>
          <w:bCs/>
          <w:sz w:val="32"/>
          <w:szCs w:val="32"/>
        </w:rPr>
        <w:t>（四）附加教学活动补偿制度。节假日、周末学校、学院安排的非常规教学工作，由学院给予一定的经济补偿，保障教学活动的正常顺利进行。具体标准为每小时50元人民币。</w:t>
      </w:r>
    </w:p>
    <w:p>
      <w:pPr>
        <w:pStyle w:val="4"/>
        <w:spacing w:before="0" w:after="0" w:line="415" w:lineRule="auto"/>
        <w:ind w:firstLine="640" w:firstLineChars="200"/>
        <w:rPr>
          <w:rFonts w:hint="eastAsia" w:ascii="黑体" w:eastAsia="黑体"/>
          <w:b w:val="0"/>
        </w:rPr>
      </w:pPr>
      <w:bookmarkStart w:id="29" w:name="_Toc496351231"/>
      <w:bookmarkStart w:id="30" w:name="_Toc496351339"/>
      <w:r>
        <w:rPr>
          <w:rFonts w:hint="eastAsia" w:ascii="黑体" w:eastAsia="黑体"/>
          <w:b w:val="0"/>
        </w:rPr>
        <w:t>五、信息处理</w:t>
      </w:r>
      <w:bookmarkEnd w:id="29"/>
      <w:bookmarkEnd w:id="30"/>
    </w:p>
    <w:p>
      <w:pPr>
        <w:spacing w:line="600" w:lineRule="exact"/>
        <w:ind w:firstLine="643" w:firstLineChars="200"/>
        <w:rPr>
          <w:rFonts w:hint="eastAsia" w:ascii="仿宋_GB2312" w:eastAsia="仿宋_GB2312"/>
          <w:bCs/>
          <w:sz w:val="32"/>
          <w:szCs w:val="32"/>
        </w:rPr>
      </w:pPr>
      <w:r>
        <w:rPr>
          <w:rFonts w:hint="eastAsia" w:ascii="仿宋_GB2312" w:eastAsia="仿宋_GB2312"/>
          <w:b/>
          <w:bCs/>
          <w:sz w:val="32"/>
          <w:szCs w:val="32"/>
        </w:rPr>
        <w:t>第八条</w:t>
      </w:r>
      <w:r>
        <w:rPr>
          <w:rFonts w:hint="eastAsia" w:ascii="仿宋_GB2312" w:eastAsia="仿宋_GB2312"/>
          <w:bCs/>
          <w:sz w:val="32"/>
          <w:szCs w:val="32"/>
        </w:rPr>
        <w:t xml:space="preserve"> 监控信息获取来源：教师、学生、系、学院；获取信息的方式：个别反映、座谈会、问卷调查等；信息反馈对象：学院、系、教师、班级、学生。</w:t>
      </w:r>
    </w:p>
    <w:p>
      <w:pPr>
        <w:spacing w:line="600" w:lineRule="exact"/>
        <w:ind w:firstLine="643" w:firstLineChars="200"/>
        <w:rPr>
          <w:rFonts w:hint="eastAsia" w:ascii="仿宋_GB2312" w:eastAsia="仿宋_GB2312"/>
          <w:bCs/>
          <w:sz w:val="32"/>
          <w:szCs w:val="32"/>
        </w:rPr>
      </w:pPr>
      <w:r>
        <w:rPr>
          <w:rFonts w:hint="eastAsia" w:ascii="仿宋_GB2312" w:eastAsia="仿宋_GB2312"/>
          <w:b/>
          <w:bCs/>
          <w:sz w:val="32"/>
          <w:szCs w:val="32"/>
        </w:rPr>
        <w:t>第九条</w:t>
      </w:r>
      <w:r>
        <w:rPr>
          <w:rFonts w:hint="eastAsia" w:ascii="仿宋_GB2312" w:eastAsia="仿宋_GB2312"/>
          <w:bCs/>
          <w:sz w:val="32"/>
          <w:szCs w:val="32"/>
        </w:rPr>
        <w:t xml:space="preserve"> 学院负责收集、反馈与全院本科教学质量相关的信息。</w:t>
      </w:r>
    </w:p>
    <w:p>
      <w:pPr>
        <w:spacing w:line="600" w:lineRule="exact"/>
        <w:ind w:firstLine="643" w:firstLineChars="200"/>
        <w:rPr>
          <w:rFonts w:hint="eastAsia" w:ascii="仿宋_GB2312" w:eastAsia="仿宋_GB2312"/>
          <w:bCs/>
          <w:sz w:val="32"/>
          <w:szCs w:val="32"/>
        </w:rPr>
      </w:pPr>
      <w:r>
        <w:rPr>
          <w:rFonts w:hint="eastAsia" w:ascii="仿宋_GB2312" w:eastAsia="仿宋_GB2312"/>
          <w:b/>
          <w:bCs/>
          <w:sz w:val="32"/>
          <w:szCs w:val="32"/>
        </w:rPr>
        <w:t>第十条</w:t>
      </w:r>
      <w:r>
        <w:rPr>
          <w:rFonts w:hint="eastAsia" w:ascii="仿宋_GB2312" w:eastAsia="仿宋_GB2312"/>
          <w:bCs/>
          <w:sz w:val="32"/>
          <w:szCs w:val="32"/>
        </w:rPr>
        <w:tab/>
      </w:r>
      <w:r>
        <w:rPr>
          <w:rFonts w:hint="eastAsia" w:ascii="仿宋_GB2312" w:eastAsia="仿宋_GB2312"/>
          <w:bCs/>
          <w:sz w:val="32"/>
          <w:szCs w:val="32"/>
        </w:rPr>
        <w:t xml:space="preserve"> 各系负责本系教学质量相关信息的收集、汇总、分析、反馈工作。</w:t>
      </w:r>
    </w:p>
    <w:p>
      <w:pPr>
        <w:pStyle w:val="4"/>
        <w:spacing w:before="0" w:after="0" w:line="415" w:lineRule="auto"/>
        <w:ind w:firstLine="640" w:firstLineChars="200"/>
        <w:rPr>
          <w:rFonts w:hint="eastAsia" w:ascii="黑体" w:eastAsia="黑体"/>
          <w:b w:val="0"/>
        </w:rPr>
      </w:pPr>
      <w:bookmarkStart w:id="31" w:name="_Toc496351232"/>
      <w:bookmarkStart w:id="32" w:name="_Toc496351340"/>
      <w:r>
        <w:rPr>
          <w:rFonts w:hint="eastAsia" w:ascii="黑体" w:eastAsia="黑体"/>
          <w:b w:val="0"/>
        </w:rPr>
        <w:t>六、运行机制</w:t>
      </w:r>
      <w:bookmarkEnd w:id="31"/>
      <w:bookmarkEnd w:id="32"/>
    </w:p>
    <w:p>
      <w:pPr>
        <w:spacing w:line="600" w:lineRule="exact"/>
        <w:ind w:firstLine="643" w:firstLineChars="200"/>
        <w:rPr>
          <w:rFonts w:hint="eastAsia" w:ascii="仿宋_GB2312" w:eastAsia="仿宋_GB2312"/>
          <w:bCs/>
          <w:sz w:val="32"/>
          <w:szCs w:val="32"/>
        </w:rPr>
      </w:pPr>
      <w:r>
        <w:rPr>
          <w:rFonts w:hint="eastAsia" w:ascii="仿宋_GB2312" w:eastAsia="仿宋_GB2312"/>
          <w:b/>
          <w:bCs/>
          <w:sz w:val="32"/>
          <w:szCs w:val="32"/>
        </w:rPr>
        <w:t>第十一条</w:t>
      </w:r>
      <w:r>
        <w:rPr>
          <w:rFonts w:hint="eastAsia" w:ascii="仿宋_GB2312" w:eastAsia="仿宋_GB2312"/>
          <w:bCs/>
          <w:sz w:val="32"/>
          <w:szCs w:val="32"/>
        </w:rPr>
        <w:t xml:space="preserve"> 教学质量监控与保障体系，按院、系两级模式运行。学院要把细化和落实本办法列举的“监控与激励内容”任务，作为工作重点；各系要把推进教学监控与激励体系有序、健康运行作为工作重点。</w:t>
      </w:r>
    </w:p>
    <w:p>
      <w:pPr>
        <w:spacing w:line="600" w:lineRule="exact"/>
        <w:ind w:firstLine="643" w:firstLineChars="200"/>
        <w:rPr>
          <w:rFonts w:hint="eastAsia" w:ascii="仿宋_GB2312" w:eastAsia="仿宋_GB2312"/>
          <w:bCs/>
          <w:sz w:val="32"/>
          <w:szCs w:val="32"/>
        </w:rPr>
      </w:pPr>
      <w:r>
        <w:rPr>
          <w:rFonts w:hint="eastAsia" w:ascii="仿宋_GB2312" w:eastAsia="仿宋_GB2312"/>
          <w:b/>
          <w:bCs/>
          <w:sz w:val="32"/>
          <w:szCs w:val="32"/>
        </w:rPr>
        <w:t>第十二条</w:t>
      </w:r>
      <w:r>
        <w:rPr>
          <w:rFonts w:hint="eastAsia" w:ascii="仿宋_GB2312" w:eastAsia="仿宋_GB2312"/>
          <w:bCs/>
          <w:sz w:val="32"/>
          <w:szCs w:val="32"/>
        </w:rPr>
        <w:t xml:space="preserve"> 学院教学管理组织在院教学工作委员会的指导下，制定教学质量监控计划，制定教学观摩、教学比赛等活动的计划与实施细则，并组织实施。</w:t>
      </w:r>
    </w:p>
    <w:p>
      <w:pPr>
        <w:spacing w:line="600" w:lineRule="exact"/>
        <w:ind w:firstLine="643" w:firstLineChars="200"/>
        <w:rPr>
          <w:rFonts w:hint="eastAsia" w:ascii="仿宋_GB2312" w:eastAsia="仿宋_GB2312"/>
          <w:bCs/>
          <w:sz w:val="32"/>
          <w:szCs w:val="32"/>
        </w:rPr>
      </w:pPr>
      <w:r>
        <w:rPr>
          <w:rFonts w:hint="eastAsia" w:ascii="仿宋_GB2312" w:eastAsia="仿宋_GB2312"/>
          <w:b/>
          <w:bCs/>
          <w:sz w:val="32"/>
          <w:szCs w:val="32"/>
        </w:rPr>
        <w:t>第十三条</w:t>
      </w:r>
      <w:r>
        <w:rPr>
          <w:rFonts w:hint="eastAsia" w:ascii="仿宋_GB2312" w:eastAsia="仿宋_GB2312"/>
          <w:bCs/>
          <w:sz w:val="32"/>
          <w:szCs w:val="32"/>
        </w:rPr>
        <w:t xml:space="preserve"> 各系按照学院的指导计划，组织落实各项教学任务与教学质量监控计划，安排各项教学激励活动，收集教学质量监控与激励信息，提出改进建议。</w:t>
      </w:r>
    </w:p>
    <w:p>
      <w:pPr>
        <w:spacing w:line="600" w:lineRule="exact"/>
        <w:jc w:val="right"/>
        <w:rPr>
          <w:rFonts w:hint="eastAsia" w:ascii="仿宋_GB2312" w:eastAsia="仿宋_GB2312"/>
          <w:sz w:val="32"/>
          <w:szCs w:val="32"/>
        </w:rPr>
      </w:pPr>
    </w:p>
    <w:p>
      <w:pPr>
        <w:spacing w:line="600" w:lineRule="exact"/>
        <w:jc w:val="right"/>
        <w:rPr>
          <w:rFonts w:hint="eastAsia" w:ascii="仿宋_GB2312" w:eastAsia="仿宋_GB2312"/>
          <w:sz w:val="32"/>
          <w:szCs w:val="32"/>
        </w:rPr>
      </w:pPr>
    </w:p>
    <w:p>
      <w:pPr>
        <w:spacing w:line="600" w:lineRule="exact"/>
        <w:ind w:left="7040" w:right="480" w:hanging="7040" w:hangingChars="2200"/>
        <w:rPr>
          <w:rFonts w:hint="eastAsia" w:ascii="仿宋_GB2312" w:hAnsi="宋体" w:eastAsia="仿宋_GB2312"/>
          <w:sz w:val="32"/>
          <w:szCs w:val="32"/>
        </w:rPr>
      </w:pPr>
      <w:r>
        <w:rPr>
          <w:rFonts w:hint="eastAsia" w:ascii="仿宋_GB2312" w:hAnsi="宋体" w:eastAsia="仿宋_GB2312"/>
          <w:sz w:val="32"/>
          <w:szCs w:val="32"/>
        </w:rPr>
        <w:t xml:space="preserve">                                                    </w:t>
      </w:r>
    </w:p>
    <w:p>
      <w:pPr>
        <w:spacing w:line="600" w:lineRule="exact"/>
        <w:ind w:left="4620" w:leftChars="2200" w:right="480" w:firstLine="1760" w:firstLineChars="550"/>
        <w:rPr>
          <w:rFonts w:hint="eastAsia" w:ascii="仿宋_GB2312" w:eastAsia="仿宋_GB2312"/>
          <w:sz w:val="32"/>
          <w:szCs w:val="32"/>
        </w:rPr>
      </w:pPr>
      <w:r>
        <w:rPr>
          <w:rFonts w:hint="eastAsia" w:ascii="仿宋_GB2312" w:hAnsi="宋体" w:eastAsia="仿宋_GB2312"/>
          <w:sz w:val="32"/>
          <w:szCs w:val="32"/>
        </w:rPr>
        <w:t>法学院</w:t>
      </w:r>
    </w:p>
    <w:p>
      <w:pPr>
        <w:pStyle w:val="18"/>
        <w:spacing w:before="0" w:beforeAutospacing="0" w:after="0" w:afterAutospacing="0" w:line="600" w:lineRule="exact"/>
        <w:jc w:val="right"/>
        <w:rPr>
          <w:rStyle w:val="22"/>
          <w:rFonts w:hint="eastAsia" w:ascii="仿宋_GB2312" w:hAnsi="Times New Roman" w:eastAsia="仿宋_GB2312" w:cs="Times New Roman"/>
          <w:b w:val="0"/>
          <w:sz w:val="32"/>
          <w:szCs w:val="32"/>
        </w:rPr>
      </w:pPr>
      <w:r>
        <w:rPr>
          <w:rStyle w:val="22"/>
          <w:rFonts w:hint="eastAsia" w:ascii="仿宋_GB2312" w:hAnsi="Times New Roman" w:eastAsia="仿宋_GB2312" w:cs="Times New Roman"/>
          <w:b w:val="0"/>
          <w:sz w:val="32"/>
          <w:szCs w:val="32"/>
        </w:rPr>
        <w:t xml:space="preserve">  </w:t>
      </w:r>
      <w:r>
        <w:rPr>
          <w:rStyle w:val="22"/>
          <w:rFonts w:hint="eastAsia" w:ascii="仿宋_GB2312" w:hAnsi="Verdana" w:eastAsia="仿宋_GB2312" w:cs="Times New Roman"/>
          <w:b w:val="0"/>
          <w:sz w:val="32"/>
          <w:szCs w:val="32"/>
          <w:lang w:eastAsia="zh-CN"/>
        </w:rPr>
        <w:t>二〇二一</w:t>
      </w:r>
      <w:r>
        <w:rPr>
          <w:rStyle w:val="22"/>
          <w:rFonts w:hint="eastAsia" w:ascii="仿宋_GB2312" w:hAnsi="Verdana" w:eastAsia="仿宋_GB2312" w:cs="Times New Roman"/>
          <w:b w:val="0"/>
          <w:sz w:val="32"/>
          <w:szCs w:val="32"/>
        </w:rPr>
        <w:t>年三月十日</w:t>
      </w:r>
    </w:p>
    <w:p>
      <w:pPr>
        <w:pStyle w:val="3"/>
        <w:spacing w:line="600" w:lineRule="exact"/>
        <w:jc w:val="center"/>
        <w:rPr>
          <w:rFonts w:hint="eastAsia" w:ascii="方正小标宋简体" w:hAnsi="Times New Roman" w:eastAsia="方正小标宋简体" w:cs="Times New Roman"/>
          <w:b w:val="0"/>
          <w:sz w:val="44"/>
          <w:szCs w:val="44"/>
        </w:rPr>
      </w:pPr>
      <w:r>
        <w:rPr>
          <w:rFonts w:hint="eastAsia" w:ascii="仿宋_GB2312" w:hAnsi="Times New Roman" w:eastAsia="仿宋_GB2312" w:cs="Times New Roman"/>
        </w:rPr>
        <w:br w:type="page"/>
      </w:r>
      <w:bookmarkStart w:id="33" w:name="_Toc496351233"/>
      <w:bookmarkStart w:id="34" w:name="_Toc496351341"/>
      <w:bookmarkStart w:id="35" w:name="_Toc484180118"/>
      <w:bookmarkStart w:id="36" w:name="_Toc484180113"/>
      <w:r>
        <w:rPr>
          <w:rFonts w:hint="eastAsia" w:ascii="方正小标宋简体" w:hAnsi="Times New Roman" w:eastAsia="方正小标宋简体" w:cs="Times New Roman"/>
          <w:b w:val="0"/>
          <w:sz w:val="44"/>
          <w:szCs w:val="44"/>
        </w:rPr>
        <w:t>法学院教学研究项目立项及其管理办法</w:t>
      </w:r>
      <w:bookmarkEnd w:id="33"/>
      <w:bookmarkEnd w:id="34"/>
      <w:bookmarkEnd w:id="35"/>
    </w:p>
    <w:p>
      <w:pPr>
        <w:spacing w:after="31" w:line="600" w:lineRule="exact"/>
        <w:ind w:firstLine="643" w:firstLineChars="200"/>
        <w:rPr>
          <w:rFonts w:hint="eastAsia" w:ascii="仿宋_GB2312" w:hAnsi="宋体" w:eastAsia="仿宋_GB2312"/>
          <w:b/>
          <w:sz w:val="32"/>
          <w:szCs w:val="32"/>
        </w:rPr>
      </w:pPr>
    </w:p>
    <w:p>
      <w:pPr>
        <w:spacing w:after="31" w:line="600" w:lineRule="exact"/>
        <w:ind w:firstLine="643" w:firstLineChars="200"/>
        <w:rPr>
          <w:rFonts w:hint="eastAsia" w:ascii="仿宋_GB2312" w:eastAsia="仿宋_GB2312"/>
          <w:sz w:val="32"/>
          <w:szCs w:val="32"/>
        </w:rPr>
      </w:pPr>
      <w:r>
        <w:rPr>
          <w:rFonts w:hint="eastAsia" w:ascii="仿宋_GB2312" w:hAnsi="宋体" w:eastAsia="仿宋_GB2312"/>
          <w:b/>
          <w:sz w:val="32"/>
          <w:szCs w:val="32"/>
        </w:rPr>
        <w:t>第一条</w:t>
      </w:r>
      <w:r>
        <w:rPr>
          <w:rFonts w:hint="eastAsia" w:ascii="仿宋_GB2312" w:eastAsia="仿宋_GB2312"/>
          <w:sz w:val="32"/>
          <w:szCs w:val="32"/>
        </w:rPr>
        <w:t xml:space="preserve"> </w:t>
      </w:r>
      <w:r>
        <w:rPr>
          <w:rFonts w:hint="eastAsia" w:ascii="仿宋_GB2312" w:hAnsi="宋体" w:eastAsia="仿宋_GB2312"/>
          <w:sz w:val="32"/>
          <w:szCs w:val="32"/>
        </w:rPr>
        <w:t>为鼓励广大教师、教辅人员和教学管理人员积极参加教学研究和教学改革，不断探索和研究教育教学规律，提高教育教学水平，促进我校教学质量进一步提高，制定《法学院教学研究项目立项及其管理办法》。</w:t>
      </w:r>
    </w:p>
    <w:p>
      <w:pPr>
        <w:spacing w:line="600" w:lineRule="exact"/>
        <w:ind w:firstLine="643" w:firstLineChars="200"/>
        <w:rPr>
          <w:rFonts w:hint="eastAsia" w:ascii="仿宋_GB2312" w:eastAsia="仿宋_GB2312"/>
          <w:sz w:val="32"/>
          <w:szCs w:val="32"/>
        </w:rPr>
      </w:pPr>
      <w:r>
        <w:rPr>
          <w:rFonts w:hint="eastAsia" w:ascii="仿宋_GB2312" w:hAnsi="宋体" w:eastAsia="仿宋_GB2312"/>
          <w:b/>
          <w:sz w:val="32"/>
          <w:szCs w:val="32"/>
        </w:rPr>
        <w:t>第二条</w:t>
      </w:r>
      <w:r>
        <w:rPr>
          <w:rFonts w:hint="eastAsia" w:ascii="仿宋_GB2312" w:eastAsia="仿宋_GB2312"/>
          <w:sz w:val="32"/>
          <w:szCs w:val="32"/>
        </w:rPr>
        <w:t xml:space="preserve"> </w:t>
      </w:r>
      <w:r>
        <w:rPr>
          <w:rFonts w:hint="eastAsia" w:ascii="仿宋_GB2312" w:hAnsi="宋体" w:eastAsia="仿宋_GB2312"/>
          <w:sz w:val="32"/>
          <w:szCs w:val="32"/>
        </w:rPr>
        <w:t>立项范围</w:t>
      </w:r>
    </w:p>
    <w:p>
      <w:pPr>
        <w:spacing w:line="600" w:lineRule="exact"/>
        <w:ind w:firstLine="640" w:firstLineChars="200"/>
        <w:rPr>
          <w:rFonts w:hint="eastAsia" w:ascii="仿宋_GB2312" w:eastAsia="仿宋_GB2312"/>
          <w:sz w:val="32"/>
          <w:szCs w:val="32"/>
        </w:rPr>
      </w:pPr>
      <w:r>
        <w:rPr>
          <w:rFonts w:hint="eastAsia" w:ascii="仿宋_GB2312" w:hAnsi="宋体" w:eastAsia="仿宋_GB2312"/>
          <w:sz w:val="32"/>
          <w:szCs w:val="32"/>
        </w:rPr>
        <w:t>教学研究立项的范围主要是在本科教学的教育思想、课程建设、课程体系、教学内容教学手段和教学方法、教学管理等方面进行改革和建设的研究项目。</w:t>
      </w:r>
    </w:p>
    <w:p>
      <w:pPr>
        <w:spacing w:line="600" w:lineRule="exact"/>
        <w:ind w:firstLine="640" w:firstLineChars="200"/>
        <w:rPr>
          <w:rFonts w:hint="eastAsia" w:ascii="仿宋_GB2312" w:eastAsia="仿宋_GB2312"/>
          <w:sz w:val="32"/>
          <w:szCs w:val="32"/>
        </w:rPr>
      </w:pPr>
      <w:r>
        <w:rPr>
          <w:rFonts w:hint="eastAsia" w:ascii="仿宋_GB2312" w:hAnsi="宋体" w:eastAsia="仿宋_GB2312"/>
          <w:sz w:val="32"/>
          <w:szCs w:val="32"/>
        </w:rPr>
        <w:t>立项分为重点项目和一般项目，以下是一般项目的立项范围，重点项目每年由学院根据学校教学改革的实际情况拟定立项指南。</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1</w:t>
      </w:r>
      <w:r>
        <w:rPr>
          <w:rFonts w:hint="eastAsia" w:ascii="仿宋_GB2312" w:hAnsi="宋体" w:eastAsia="仿宋_GB2312"/>
          <w:sz w:val="32"/>
          <w:szCs w:val="32"/>
        </w:rPr>
        <w:t>、先进的教学思想、教学观念研究。</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2</w:t>
      </w:r>
      <w:r>
        <w:rPr>
          <w:rFonts w:hint="eastAsia" w:ascii="仿宋_GB2312" w:hAnsi="宋体" w:eastAsia="仿宋_GB2312"/>
          <w:sz w:val="32"/>
          <w:szCs w:val="32"/>
        </w:rPr>
        <w:t>、人才培养模式、培养目标的研究。</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3</w:t>
      </w:r>
      <w:r>
        <w:rPr>
          <w:rFonts w:hint="eastAsia" w:ascii="仿宋_GB2312" w:hAnsi="宋体" w:eastAsia="仿宋_GB2312"/>
          <w:sz w:val="32"/>
          <w:szCs w:val="32"/>
        </w:rPr>
        <w:t>、教学评估的研究。</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4</w:t>
      </w:r>
      <w:r>
        <w:rPr>
          <w:rFonts w:hint="eastAsia" w:ascii="仿宋_GB2312" w:hAnsi="宋体" w:eastAsia="仿宋_GB2312"/>
          <w:sz w:val="32"/>
          <w:szCs w:val="32"/>
        </w:rPr>
        <w:t>、系列课程建设的研究。</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5</w:t>
      </w:r>
      <w:r>
        <w:rPr>
          <w:rFonts w:hint="eastAsia" w:ascii="仿宋_GB2312" w:hAnsi="宋体" w:eastAsia="仿宋_GB2312"/>
          <w:sz w:val="32"/>
          <w:szCs w:val="32"/>
        </w:rPr>
        <w:t>、教学方法的研究。</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6</w:t>
      </w:r>
      <w:r>
        <w:rPr>
          <w:rFonts w:hint="eastAsia" w:ascii="仿宋_GB2312" w:hAnsi="宋体" w:eastAsia="仿宋_GB2312"/>
          <w:sz w:val="32"/>
          <w:szCs w:val="32"/>
        </w:rPr>
        <w:t>、教学手段的研究。</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7</w:t>
      </w:r>
      <w:r>
        <w:rPr>
          <w:rFonts w:hint="eastAsia" w:ascii="仿宋_GB2312" w:hAnsi="宋体" w:eastAsia="仿宋_GB2312"/>
          <w:sz w:val="32"/>
          <w:szCs w:val="32"/>
        </w:rPr>
        <w:t>、教学管理的研究。</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8</w:t>
      </w:r>
      <w:r>
        <w:rPr>
          <w:rFonts w:hint="eastAsia" w:ascii="仿宋_GB2312" w:hAnsi="宋体" w:eastAsia="仿宋_GB2312"/>
          <w:sz w:val="32"/>
          <w:szCs w:val="32"/>
        </w:rPr>
        <w:t>、实践教学的研究。</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9</w:t>
      </w:r>
      <w:r>
        <w:rPr>
          <w:rFonts w:hint="eastAsia" w:ascii="仿宋_GB2312" w:hAnsi="宋体" w:eastAsia="仿宋_GB2312"/>
          <w:sz w:val="32"/>
          <w:szCs w:val="32"/>
        </w:rPr>
        <w:t>、素质教育的研究。</w:t>
      </w:r>
    </w:p>
    <w:p>
      <w:pPr>
        <w:spacing w:line="600" w:lineRule="exact"/>
        <w:ind w:firstLine="643" w:firstLineChars="200"/>
        <w:rPr>
          <w:rFonts w:hint="eastAsia" w:ascii="仿宋_GB2312" w:eastAsia="仿宋_GB2312"/>
          <w:sz w:val="32"/>
          <w:szCs w:val="32"/>
        </w:rPr>
      </w:pPr>
      <w:r>
        <w:rPr>
          <w:rFonts w:hint="eastAsia" w:ascii="仿宋_GB2312" w:hAnsi="宋体" w:eastAsia="仿宋_GB2312"/>
          <w:b/>
          <w:sz w:val="32"/>
          <w:szCs w:val="32"/>
        </w:rPr>
        <w:t>第三条</w:t>
      </w:r>
      <w:r>
        <w:rPr>
          <w:rFonts w:hint="eastAsia" w:ascii="仿宋_GB2312" w:eastAsia="仿宋_GB2312"/>
          <w:sz w:val="32"/>
          <w:szCs w:val="32"/>
        </w:rPr>
        <w:t xml:space="preserve"> </w:t>
      </w:r>
      <w:r>
        <w:rPr>
          <w:rFonts w:hint="eastAsia" w:ascii="仿宋_GB2312" w:hAnsi="宋体" w:eastAsia="仿宋_GB2312"/>
          <w:sz w:val="32"/>
          <w:szCs w:val="32"/>
        </w:rPr>
        <w:t>立项的申报和评审</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1</w:t>
      </w:r>
      <w:r>
        <w:rPr>
          <w:rFonts w:hint="eastAsia" w:ascii="仿宋_GB2312" w:hAnsi="宋体" w:eastAsia="仿宋_GB2312"/>
          <w:sz w:val="32"/>
          <w:szCs w:val="32"/>
        </w:rPr>
        <w:t>、凡法学院的教师、教辅人员和教学管理人员均可向学院提出立项申请，但项目负责人必须具有中级及中级以上职称。</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2</w:t>
      </w:r>
      <w:r>
        <w:rPr>
          <w:rFonts w:hint="eastAsia" w:ascii="仿宋_GB2312" w:hAnsi="宋体" w:eastAsia="仿宋_GB2312"/>
          <w:sz w:val="32"/>
          <w:szCs w:val="32"/>
        </w:rPr>
        <w:t>、经学院教学委员会进行初审，上报教务处。</w:t>
      </w:r>
    </w:p>
    <w:p>
      <w:pPr>
        <w:spacing w:line="600" w:lineRule="exact"/>
        <w:ind w:firstLine="643" w:firstLineChars="200"/>
        <w:rPr>
          <w:rFonts w:hint="eastAsia" w:ascii="仿宋_GB2312" w:eastAsia="仿宋_GB2312"/>
          <w:sz w:val="32"/>
          <w:szCs w:val="32"/>
        </w:rPr>
      </w:pPr>
      <w:r>
        <w:rPr>
          <w:rFonts w:hint="eastAsia" w:ascii="仿宋_GB2312" w:hAnsi="宋体" w:eastAsia="仿宋_GB2312"/>
          <w:b/>
          <w:sz w:val="32"/>
          <w:szCs w:val="32"/>
        </w:rPr>
        <w:t>第四条</w:t>
      </w:r>
      <w:r>
        <w:rPr>
          <w:rFonts w:hint="eastAsia" w:ascii="仿宋_GB2312" w:eastAsia="仿宋_GB2312"/>
          <w:sz w:val="32"/>
          <w:szCs w:val="32"/>
        </w:rPr>
        <w:t xml:space="preserve"> </w:t>
      </w:r>
      <w:r>
        <w:rPr>
          <w:rFonts w:hint="eastAsia" w:ascii="仿宋_GB2312" w:hAnsi="宋体" w:eastAsia="仿宋_GB2312"/>
          <w:sz w:val="32"/>
          <w:szCs w:val="32"/>
        </w:rPr>
        <w:t>经费资助</w:t>
      </w:r>
    </w:p>
    <w:p>
      <w:pPr>
        <w:spacing w:line="600" w:lineRule="exact"/>
        <w:ind w:firstLine="640" w:firstLineChars="200"/>
        <w:rPr>
          <w:rFonts w:hint="eastAsia" w:ascii="仿宋_GB2312" w:eastAsia="仿宋_GB2312"/>
          <w:sz w:val="32"/>
          <w:szCs w:val="32"/>
        </w:rPr>
      </w:pPr>
      <w:r>
        <w:rPr>
          <w:rFonts w:hint="eastAsia" w:ascii="仿宋_GB2312" w:hAnsi="宋体" w:eastAsia="仿宋_GB2312"/>
          <w:sz w:val="32"/>
          <w:szCs w:val="32"/>
        </w:rPr>
        <w:t>学院将对审批通过的教学研究项目给予经费资助。</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1</w:t>
      </w:r>
      <w:r>
        <w:rPr>
          <w:rFonts w:hint="eastAsia" w:ascii="仿宋_GB2312" w:hAnsi="宋体" w:eastAsia="仿宋_GB2312"/>
          <w:sz w:val="32"/>
          <w:szCs w:val="32"/>
        </w:rPr>
        <w:t>、项目经费额度，由学院教学委员会审核确定。</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2</w:t>
      </w:r>
      <w:r>
        <w:rPr>
          <w:rFonts w:hint="eastAsia" w:ascii="仿宋_GB2312" w:hAnsi="宋体" w:eastAsia="仿宋_GB2312"/>
          <w:sz w:val="32"/>
          <w:szCs w:val="32"/>
        </w:rPr>
        <w:t>、先拨给项目组经费总额的一半，待通过中期检查后再下拨其余部分。</w:t>
      </w:r>
    </w:p>
    <w:p>
      <w:pPr>
        <w:spacing w:line="600" w:lineRule="exact"/>
        <w:ind w:firstLine="643" w:firstLineChars="200"/>
        <w:rPr>
          <w:rFonts w:hint="eastAsia" w:ascii="仿宋_GB2312" w:eastAsia="仿宋_GB2312"/>
          <w:sz w:val="32"/>
          <w:szCs w:val="32"/>
        </w:rPr>
      </w:pPr>
      <w:r>
        <w:rPr>
          <w:rFonts w:hint="eastAsia" w:ascii="仿宋_GB2312" w:hAnsi="宋体" w:eastAsia="仿宋_GB2312"/>
          <w:b/>
          <w:sz w:val="32"/>
          <w:szCs w:val="32"/>
        </w:rPr>
        <w:t>第五条</w:t>
      </w:r>
      <w:r>
        <w:rPr>
          <w:rFonts w:hint="eastAsia" w:ascii="仿宋_GB2312" w:eastAsia="仿宋_GB2312"/>
          <w:sz w:val="32"/>
          <w:szCs w:val="32"/>
        </w:rPr>
        <w:t xml:space="preserve"> </w:t>
      </w:r>
      <w:r>
        <w:rPr>
          <w:rFonts w:hint="eastAsia" w:ascii="仿宋_GB2312" w:hAnsi="宋体" w:eastAsia="仿宋_GB2312"/>
          <w:sz w:val="32"/>
          <w:szCs w:val="32"/>
        </w:rPr>
        <w:t>奖惩</w:t>
      </w:r>
      <w:r>
        <w:rPr>
          <w:rFonts w:hint="eastAsia" w:ascii="仿宋_GB2312" w:eastAsia="仿宋_GB2312"/>
          <w:sz w:val="32"/>
          <w:szCs w:val="32"/>
        </w:rPr>
        <w:t xml:space="preserve">    </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1</w:t>
      </w:r>
      <w:r>
        <w:rPr>
          <w:rFonts w:hint="eastAsia" w:ascii="仿宋_GB2312" w:hAnsi="宋体" w:eastAsia="仿宋_GB2312"/>
          <w:sz w:val="32"/>
          <w:szCs w:val="32"/>
        </w:rPr>
        <w:t>、学院根据每个项目立项时提出的研究进度进行阶段检查和验收，并组织鉴定。</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2</w:t>
      </w:r>
      <w:r>
        <w:rPr>
          <w:rFonts w:hint="eastAsia" w:ascii="仿宋_GB2312" w:hAnsi="宋体" w:eastAsia="仿宋_GB2312"/>
          <w:sz w:val="32"/>
          <w:szCs w:val="32"/>
        </w:rPr>
        <w:t>、对按时保质保量完成教学研究项目的系，学院将在下一年度的教学研究项目立项中，加大经费投入的力度。</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3</w:t>
      </w:r>
      <w:r>
        <w:rPr>
          <w:rFonts w:hint="eastAsia" w:ascii="仿宋_GB2312" w:hAnsi="宋体" w:eastAsia="仿宋_GB2312"/>
          <w:sz w:val="32"/>
          <w:szCs w:val="32"/>
        </w:rPr>
        <w:t>、对不能按时保质保量完成教学研究项目的系，学院将减少对该系下一年度教学研究经费的额度。</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4</w:t>
      </w:r>
      <w:r>
        <w:rPr>
          <w:rFonts w:hint="eastAsia" w:ascii="仿宋_GB2312" w:hAnsi="宋体" w:eastAsia="仿宋_GB2312"/>
          <w:sz w:val="32"/>
          <w:szCs w:val="32"/>
        </w:rPr>
        <w:t>、学院在阶段检查中，对不胜任某一项目研究的课题组，将终止该项目的研究，并收回研究经费。</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5</w:t>
      </w:r>
      <w:r>
        <w:rPr>
          <w:rFonts w:hint="eastAsia" w:ascii="仿宋_GB2312" w:hAnsi="宋体" w:eastAsia="仿宋_GB2312"/>
          <w:sz w:val="32"/>
          <w:szCs w:val="32"/>
        </w:rPr>
        <w:t>、对得到国家级、省部级主管部门资助的教学研究项目或获得国家级、省部级教学成果奖的项目组，学院将给予相应的资助或奖励。</w:t>
      </w:r>
    </w:p>
    <w:p>
      <w:pPr>
        <w:spacing w:line="600" w:lineRule="exact"/>
        <w:ind w:firstLine="640" w:firstLineChars="200"/>
        <w:jc w:val="center"/>
        <w:rPr>
          <w:rFonts w:hint="eastAsia" w:ascii="仿宋_GB2312" w:eastAsia="仿宋_GB2312"/>
          <w:sz w:val="32"/>
          <w:szCs w:val="32"/>
        </w:rPr>
      </w:pPr>
      <w:r>
        <w:rPr>
          <w:rFonts w:hint="eastAsia" w:ascii="仿宋_GB2312" w:eastAsia="仿宋_GB2312"/>
          <w:sz w:val="32"/>
          <w:szCs w:val="32"/>
        </w:rPr>
        <w:t xml:space="preserve">                                                         </w:t>
      </w:r>
    </w:p>
    <w:p>
      <w:pPr>
        <w:spacing w:line="600" w:lineRule="exact"/>
        <w:jc w:val="right"/>
        <w:rPr>
          <w:rFonts w:hint="eastAsia" w:ascii="仿宋_GB2312" w:eastAsia="仿宋_GB2312"/>
          <w:sz w:val="32"/>
          <w:szCs w:val="32"/>
        </w:rPr>
      </w:pPr>
    </w:p>
    <w:p>
      <w:pPr>
        <w:spacing w:line="600" w:lineRule="exact"/>
        <w:jc w:val="right"/>
        <w:rPr>
          <w:rFonts w:hint="eastAsia" w:ascii="仿宋_GB2312" w:eastAsia="仿宋_GB2312"/>
          <w:sz w:val="32"/>
          <w:szCs w:val="32"/>
        </w:rPr>
      </w:pPr>
    </w:p>
    <w:p>
      <w:pPr>
        <w:spacing w:line="600" w:lineRule="exact"/>
        <w:ind w:right="720"/>
        <w:jc w:val="right"/>
        <w:rPr>
          <w:rFonts w:hint="eastAsia" w:ascii="仿宋_GB2312" w:eastAsia="仿宋_GB2312"/>
          <w:sz w:val="32"/>
          <w:szCs w:val="32"/>
        </w:rPr>
      </w:pPr>
      <w:r>
        <w:rPr>
          <w:rFonts w:hint="eastAsia" w:ascii="仿宋_GB2312" w:hAnsi="宋体" w:eastAsia="仿宋_GB2312"/>
          <w:sz w:val="32"/>
          <w:szCs w:val="32"/>
        </w:rPr>
        <w:t>法学院</w:t>
      </w:r>
    </w:p>
    <w:p>
      <w:pPr>
        <w:pStyle w:val="18"/>
        <w:spacing w:before="0" w:beforeAutospacing="0" w:after="0" w:afterAutospacing="0" w:line="600" w:lineRule="exact"/>
        <w:jc w:val="right"/>
        <w:rPr>
          <w:rStyle w:val="22"/>
          <w:rFonts w:hint="eastAsia" w:ascii="仿宋_GB2312" w:hAnsi="Times New Roman" w:eastAsia="仿宋_GB2312" w:cs="Times New Roman"/>
          <w:b w:val="0"/>
          <w:sz w:val="32"/>
          <w:szCs w:val="32"/>
        </w:rPr>
      </w:pPr>
      <w:r>
        <w:rPr>
          <w:rStyle w:val="22"/>
          <w:rFonts w:hint="eastAsia" w:ascii="仿宋_GB2312" w:hAnsi="Times New Roman" w:eastAsia="仿宋_GB2312" w:cs="Times New Roman"/>
          <w:b w:val="0"/>
          <w:sz w:val="32"/>
          <w:szCs w:val="32"/>
        </w:rPr>
        <w:t xml:space="preserve">  </w:t>
      </w:r>
      <w:r>
        <w:rPr>
          <w:rStyle w:val="22"/>
          <w:rFonts w:hint="eastAsia" w:ascii="仿宋_GB2312" w:hAnsi="Verdana" w:eastAsia="仿宋_GB2312" w:cs="Times New Roman"/>
          <w:b w:val="0"/>
          <w:sz w:val="32"/>
          <w:szCs w:val="32"/>
          <w:lang w:eastAsia="zh-CN"/>
        </w:rPr>
        <w:t>二〇二一</w:t>
      </w:r>
      <w:r>
        <w:rPr>
          <w:rStyle w:val="22"/>
          <w:rFonts w:hint="eastAsia" w:ascii="仿宋_GB2312" w:hAnsi="Verdana" w:eastAsia="仿宋_GB2312" w:cs="Times New Roman"/>
          <w:b w:val="0"/>
          <w:sz w:val="32"/>
          <w:szCs w:val="32"/>
        </w:rPr>
        <w:t>年三月十日</w:t>
      </w:r>
    </w:p>
    <w:p>
      <w:pPr>
        <w:pStyle w:val="3"/>
        <w:spacing w:line="600" w:lineRule="exact"/>
        <w:jc w:val="center"/>
        <w:rPr>
          <w:rFonts w:hint="eastAsia" w:ascii="方正小标宋简体" w:hAnsi="Times New Roman" w:eastAsia="方正小标宋简体" w:cs="Times New Roman"/>
          <w:b w:val="0"/>
          <w:sz w:val="44"/>
          <w:szCs w:val="44"/>
        </w:rPr>
      </w:pPr>
      <w:r>
        <w:rPr>
          <w:rFonts w:hint="eastAsia" w:ascii="仿宋_GB2312" w:hAnsi="Times New Roman" w:eastAsia="仿宋_GB2312" w:cs="Times New Roman"/>
          <w:b w:val="0"/>
        </w:rPr>
        <w:br w:type="page"/>
      </w:r>
      <w:bookmarkStart w:id="37" w:name="_Toc496351342"/>
      <w:bookmarkStart w:id="38" w:name="_Toc484180116"/>
      <w:bookmarkStart w:id="39" w:name="_Toc496351234"/>
      <w:r>
        <w:rPr>
          <w:rFonts w:hint="eastAsia" w:ascii="方正小标宋简体" w:hAnsi="Times New Roman" w:eastAsia="方正小标宋简体" w:cs="Times New Roman"/>
          <w:b w:val="0"/>
          <w:sz w:val="44"/>
          <w:szCs w:val="44"/>
        </w:rPr>
        <w:t>法学院教学督导工作规定</w:t>
      </w:r>
      <w:bookmarkEnd w:id="37"/>
      <w:bookmarkEnd w:id="38"/>
      <w:bookmarkEnd w:id="39"/>
    </w:p>
    <w:p>
      <w:pPr>
        <w:spacing w:line="600" w:lineRule="exact"/>
        <w:ind w:firstLine="640" w:firstLineChars="200"/>
        <w:rPr>
          <w:rFonts w:hint="eastAsia" w:ascii="仿宋_GB2312" w:hAnsi="宋体" w:eastAsia="仿宋_GB2312"/>
          <w:sz w:val="32"/>
          <w:szCs w:val="32"/>
        </w:rPr>
      </w:pPr>
    </w:p>
    <w:p>
      <w:pPr>
        <w:spacing w:line="600" w:lineRule="exact"/>
        <w:ind w:firstLine="640" w:firstLineChars="200"/>
        <w:rPr>
          <w:rFonts w:hint="eastAsia" w:ascii="仿宋_GB2312" w:eastAsia="仿宋_GB2312"/>
          <w:sz w:val="32"/>
          <w:szCs w:val="32"/>
        </w:rPr>
      </w:pPr>
      <w:r>
        <w:rPr>
          <w:rFonts w:hint="eastAsia" w:ascii="仿宋_GB2312" w:hAnsi="宋体" w:eastAsia="仿宋_GB2312"/>
          <w:sz w:val="32"/>
          <w:szCs w:val="32"/>
        </w:rPr>
        <w:t>为了进一步加强我院教学管理工作，及时检查教学情况，建立教学管理反馈信息系统，加强对教学的视察和督导，提高教学水平，制定本规定。</w:t>
      </w:r>
    </w:p>
    <w:p>
      <w:pPr>
        <w:pStyle w:val="4"/>
        <w:spacing w:before="0" w:after="0" w:line="415" w:lineRule="auto"/>
        <w:ind w:firstLine="640" w:firstLineChars="200"/>
        <w:rPr>
          <w:rFonts w:hint="eastAsia" w:ascii="黑体" w:eastAsia="黑体"/>
          <w:b w:val="0"/>
        </w:rPr>
      </w:pPr>
      <w:bookmarkStart w:id="40" w:name="_Toc496351343"/>
      <w:bookmarkStart w:id="41" w:name="_Toc496351235"/>
      <w:r>
        <w:rPr>
          <w:rFonts w:hint="eastAsia" w:ascii="黑体" w:eastAsia="黑体"/>
          <w:b w:val="0"/>
        </w:rPr>
        <w:t>一、教学督导工作的性质和任务</w:t>
      </w:r>
      <w:bookmarkEnd w:id="40"/>
      <w:bookmarkEnd w:id="41"/>
    </w:p>
    <w:p>
      <w:pPr>
        <w:spacing w:line="600" w:lineRule="exact"/>
        <w:ind w:firstLine="640" w:firstLineChars="200"/>
        <w:rPr>
          <w:rFonts w:hint="eastAsia" w:ascii="仿宋_GB2312" w:eastAsia="仿宋_GB2312"/>
          <w:sz w:val="32"/>
          <w:szCs w:val="32"/>
        </w:rPr>
      </w:pPr>
      <w:r>
        <w:rPr>
          <w:rFonts w:hint="eastAsia" w:ascii="仿宋_GB2312" w:hAnsi="宋体" w:eastAsia="仿宋_GB2312"/>
          <w:sz w:val="32"/>
          <w:szCs w:val="32"/>
        </w:rPr>
        <w:t>教学督导是对我院的教学工作，尤其是本科教学工作进行全面监督、检查和指导，确保学校有关教学政策、规定、措施的贯彻执行和教学质量目标的实现，总结推广教学工作经验，推动我院教学管理水平的提高和教学改革的不断深化。</w:t>
      </w:r>
    </w:p>
    <w:p>
      <w:pPr>
        <w:pStyle w:val="4"/>
        <w:spacing w:before="0" w:after="0" w:line="415" w:lineRule="auto"/>
        <w:ind w:firstLine="640" w:firstLineChars="200"/>
        <w:rPr>
          <w:rFonts w:hint="eastAsia" w:ascii="黑体" w:eastAsia="黑体"/>
          <w:b w:val="0"/>
        </w:rPr>
      </w:pPr>
      <w:bookmarkStart w:id="42" w:name="_Toc496351344"/>
      <w:bookmarkStart w:id="43" w:name="_Toc496351236"/>
      <w:r>
        <w:rPr>
          <w:rFonts w:hint="eastAsia" w:ascii="黑体" w:eastAsia="黑体"/>
          <w:b w:val="0"/>
        </w:rPr>
        <w:t>二、教学督导的实施机构</w:t>
      </w:r>
      <w:bookmarkEnd w:id="42"/>
      <w:bookmarkEnd w:id="43"/>
    </w:p>
    <w:p>
      <w:pPr>
        <w:spacing w:line="600" w:lineRule="exact"/>
        <w:ind w:firstLine="640" w:firstLineChars="200"/>
        <w:rPr>
          <w:rFonts w:hint="eastAsia" w:ascii="仿宋_GB2312" w:eastAsia="仿宋_GB2312"/>
          <w:sz w:val="32"/>
          <w:szCs w:val="32"/>
        </w:rPr>
      </w:pPr>
      <w:r>
        <w:rPr>
          <w:rFonts w:hint="eastAsia" w:ascii="仿宋_GB2312" w:hAnsi="宋体" w:eastAsia="仿宋_GB2312"/>
          <w:sz w:val="32"/>
          <w:szCs w:val="32"/>
        </w:rPr>
        <w:t>教学督导工作通过成立教学督导委员会实施。教学督导委员会是我院教学工作的咨询参谋机构。其基本任务是：</w:t>
      </w:r>
    </w:p>
    <w:p>
      <w:pPr>
        <w:spacing w:line="600" w:lineRule="exact"/>
        <w:ind w:firstLine="425" w:firstLineChars="133"/>
        <w:rPr>
          <w:rFonts w:hint="eastAsia" w:ascii="仿宋_GB2312" w:eastAsia="仿宋_GB2312"/>
          <w:sz w:val="32"/>
          <w:szCs w:val="32"/>
        </w:rPr>
      </w:pPr>
      <w:r>
        <w:rPr>
          <w:rFonts w:hint="eastAsia" w:ascii="仿宋_GB2312" w:hAnsi="宋体" w:eastAsia="仿宋_GB2312"/>
          <w:sz w:val="32"/>
          <w:szCs w:val="32"/>
        </w:rPr>
        <w:t>（一）开展调查研究，提出有关我院提高教学教育、教学质量的建议、措施，为教育改革提供依据。</w:t>
      </w:r>
    </w:p>
    <w:p>
      <w:pPr>
        <w:spacing w:line="600" w:lineRule="exact"/>
        <w:ind w:firstLine="425" w:firstLineChars="133"/>
        <w:rPr>
          <w:rFonts w:hint="eastAsia" w:ascii="仿宋_GB2312" w:eastAsia="仿宋_GB2312"/>
          <w:sz w:val="32"/>
          <w:szCs w:val="32"/>
        </w:rPr>
      </w:pPr>
      <w:r>
        <w:rPr>
          <w:rFonts w:hint="eastAsia" w:ascii="仿宋_GB2312" w:hAnsi="宋体" w:eastAsia="仿宋_GB2312"/>
          <w:sz w:val="32"/>
          <w:szCs w:val="32"/>
        </w:rPr>
        <w:t>（二）组织总结、交流和推广先进的教学教育经验。</w:t>
      </w:r>
    </w:p>
    <w:p>
      <w:pPr>
        <w:spacing w:line="600" w:lineRule="exact"/>
        <w:ind w:firstLine="425" w:firstLineChars="133"/>
        <w:rPr>
          <w:rFonts w:hint="eastAsia" w:ascii="仿宋_GB2312" w:eastAsia="仿宋_GB2312"/>
          <w:sz w:val="32"/>
          <w:szCs w:val="32"/>
        </w:rPr>
      </w:pPr>
      <w:r>
        <w:rPr>
          <w:rFonts w:hint="eastAsia" w:ascii="仿宋_GB2312" w:hAnsi="宋体" w:eastAsia="仿宋_GB2312"/>
          <w:sz w:val="32"/>
          <w:szCs w:val="32"/>
        </w:rPr>
        <w:t>（三）研究如何正确地进行教育教学评价的问题。</w:t>
      </w:r>
    </w:p>
    <w:p>
      <w:pPr>
        <w:spacing w:line="600" w:lineRule="exact"/>
        <w:ind w:firstLine="640" w:firstLineChars="200"/>
        <w:rPr>
          <w:rFonts w:hint="eastAsia" w:ascii="仿宋_GB2312" w:eastAsia="仿宋_GB2312"/>
          <w:sz w:val="32"/>
          <w:szCs w:val="32"/>
        </w:rPr>
      </w:pPr>
      <w:r>
        <w:rPr>
          <w:rFonts w:hint="eastAsia" w:ascii="仿宋_GB2312" w:hAnsi="宋体" w:eastAsia="仿宋_GB2312"/>
          <w:sz w:val="32"/>
          <w:szCs w:val="32"/>
        </w:rPr>
        <w:t>教学督导委员会由院长负责，聘任若干委员组成。教学督导委员一般在富有教学经验的教授、副教授、或系主任中聘任，一般任期二年，可根据工作需要和本人具体情况延聘或提前解聘。教学督导委员会可分设若干督导小组，分别实施教学督导工作。</w:t>
      </w:r>
    </w:p>
    <w:p>
      <w:pPr>
        <w:pStyle w:val="4"/>
        <w:spacing w:before="0" w:after="0" w:line="415" w:lineRule="auto"/>
        <w:ind w:firstLine="640" w:firstLineChars="200"/>
        <w:rPr>
          <w:rFonts w:hint="eastAsia" w:ascii="黑体" w:eastAsia="黑体"/>
          <w:b w:val="0"/>
        </w:rPr>
      </w:pPr>
      <w:bookmarkStart w:id="44" w:name="_Toc496351345"/>
      <w:bookmarkStart w:id="45" w:name="_Toc496351237"/>
      <w:r>
        <w:rPr>
          <w:rFonts w:hint="eastAsia" w:ascii="黑体" w:eastAsia="黑体"/>
          <w:b w:val="0"/>
        </w:rPr>
        <w:t>三、教学督导委员会的职责</w:t>
      </w:r>
      <w:bookmarkEnd w:id="44"/>
      <w:bookmarkEnd w:id="45"/>
    </w:p>
    <w:p>
      <w:pPr>
        <w:spacing w:line="600" w:lineRule="exact"/>
        <w:ind w:firstLine="425" w:firstLineChars="133"/>
        <w:jc w:val="left"/>
        <w:rPr>
          <w:rFonts w:hint="eastAsia" w:ascii="仿宋_GB2312" w:eastAsia="仿宋_GB2312"/>
          <w:sz w:val="32"/>
          <w:szCs w:val="32"/>
        </w:rPr>
      </w:pPr>
      <w:r>
        <w:rPr>
          <w:rFonts w:hint="eastAsia" w:ascii="仿宋_GB2312" w:hAnsi="宋体" w:eastAsia="仿宋_GB2312"/>
          <w:sz w:val="32"/>
          <w:szCs w:val="32"/>
        </w:rPr>
        <w:t>（一）制定教学督导工作的有关规章制度。</w:t>
      </w:r>
    </w:p>
    <w:p>
      <w:pPr>
        <w:spacing w:line="600" w:lineRule="exact"/>
        <w:ind w:firstLine="425" w:firstLineChars="133"/>
        <w:jc w:val="left"/>
        <w:rPr>
          <w:rFonts w:hint="eastAsia" w:ascii="仿宋_GB2312" w:eastAsia="仿宋_GB2312"/>
          <w:sz w:val="32"/>
          <w:szCs w:val="32"/>
        </w:rPr>
      </w:pPr>
      <w:r>
        <w:rPr>
          <w:rFonts w:hint="eastAsia" w:ascii="仿宋_GB2312" w:hAnsi="宋体" w:eastAsia="仿宋_GB2312"/>
          <w:sz w:val="32"/>
          <w:szCs w:val="32"/>
        </w:rPr>
        <w:t>（二）制定有关教学督导工作的计划和方案。</w:t>
      </w:r>
    </w:p>
    <w:p>
      <w:pPr>
        <w:spacing w:line="600" w:lineRule="exact"/>
        <w:ind w:firstLine="425" w:firstLineChars="133"/>
        <w:jc w:val="left"/>
        <w:rPr>
          <w:rFonts w:hint="eastAsia" w:ascii="仿宋_GB2312" w:eastAsia="仿宋_GB2312"/>
          <w:sz w:val="32"/>
          <w:szCs w:val="32"/>
        </w:rPr>
      </w:pPr>
      <w:r>
        <w:rPr>
          <w:rFonts w:hint="eastAsia" w:ascii="仿宋_GB2312" w:hAnsi="宋体" w:eastAsia="仿宋_GB2312"/>
          <w:sz w:val="32"/>
          <w:szCs w:val="32"/>
        </w:rPr>
        <w:t>（三）对我院学科建设、专业设置、教学计划等提出咨询意见。</w:t>
      </w:r>
    </w:p>
    <w:p>
      <w:pPr>
        <w:spacing w:line="600" w:lineRule="exact"/>
        <w:ind w:firstLine="425" w:firstLineChars="133"/>
        <w:jc w:val="left"/>
        <w:rPr>
          <w:rFonts w:hint="eastAsia" w:ascii="仿宋_GB2312" w:eastAsia="仿宋_GB2312"/>
          <w:sz w:val="32"/>
          <w:szCs w:val="32"/>
        </w:rPr>
      </w:pPr>
      <w:r>
        <w:rPr>
          <w:rFonts w:hint="eastAsia" w:ascii="仿宋_GB2312" w:hAnsi="宋体" w:eastAsia="仿宋_GB2312"/>
          <w:sz w:val="32"/>
          <w:szCs w:val="32"/>
        </w:rPr>
        <w:t>（四）深入教学第一线听课调研，为我院教学管理和教学改革方面的决策提供参考意见，当好顾问。</w:t>
      </w:r>
    </w:p>
    <w:p>
      <w:pPr>
        <w:spacing w:line="600" w:lineRule="exact"/>
        <w:ind w:firstLine="425" w:firstLineChars="133"/>
        <w:rPr>
          <w:rFonts w:hint="eastAsia" w:ascii="仿宋_GB2312" w:eastAsia="仿宋_GB2312"/>
          <w:sz w:val="32"/>
          <w:szCs w:val="32"/>
        </w:rPr>
      </w:pPr>
      <w:r>
        <w:rPr>
          <w:rFonts w:hint="eastAsia" w:ascii="仿宋_GB2312" w:hAnsi="宋体" w:eastAsia="仿宋_GB2312"/>
          <w:sz w:val="32"/>
          <w:szCs w:val="32"/>
        </w:rPr>
        <w:t>（五）组织实施全院本科教学质量评估和教学检查工作。</w:t>
      </w:r>
    </w:p>
    <w:p>
      <w:pPr>
        <w:spacing w:line="600" w:lineRule="exact"/>
        <w:ind w:firstLine="425" w:firstLineChars="133"/>
        <w:rPr>
          <w:rFonts w:hint="eastAsia" w:ascii="仿宋_GB2312" w:eastAsia="仿宋_GB2312"/>
          <w:sz w:val="32"/>
          <w:szCs w:val="32"/>
        </w:rPr>
      </w:pPr>
      <w:r>
        <w:rPr>
          <w:rFonts w:hint="eastAsia" w:ascii="仿宋_GB2312" w:hAnsi="宋体" w:eastAsia="仿宋_GB2312"/>
          <w:sz w:val="32"/>
          <w:szCs w:val="32"/>
        </w:rPr>
        <w:t>（六）总结推广教学督导工作经验，开展教学督导科学研究。</w:t>
      </w:r>
    </w:p>
    <w:p>
      <w:pPr>
        <w:spacing w:line="600" w:lineRule="exact"/>
        <w:ind w:firstLine="425" w:firstLineChars="133"/>
        <w:rPr>
          <w:rFonts w:hint="eastAsia" w:ascii="仿宋_GB2312" w:eastAsia="仿宋_GB2312"/>
          <w:sz w:val="32"/>
          <w:szCs w:val="32"/>
        </w:rPr>
      </w:pPr>
      <w:r>
        <w:rPr>
          <w:rFonts w:hint="eastAsia" w:ascii="仿宋_GB2312" w:hAnsi="宋体" w:eastAsia="仿宋_GB2312"/>
          <w:sz w:val="32"/>
          <w:szCs w:val="32"/>
        </w:rPr>
        <w:t>（七）每学期召开一次教学督导工作会议，会议由督导委员会主任或副主任组织。</w:t>
      </w:r>
    </w:p>
    <w:p>
      <w:pPr>
        <w:pStyle w:val="4"/>
        <w:spacing w:before="0" w:after="0" w:line="415" w:lineRule="auto"/>
        <w:ind w:firstLine="640" w:firstLineChars="200"/>
        <w:rPr>
          <w:rFonts w:hint="eastAsia" w:ascii="黑体" w:eastAsia="黑体"/>
          <w:b w:val="0"/>
        </w:rPr>
      </w:pPr>
      <w:bookmarkStart w:id="46" w:name="_Toc496351238"/>
      <w:bookmarkStart w:id="47" w:name="_Toc496351346"/>
      <w:r>
        <w:rPr>
          <w:rFonts w:hint="eastAsia" w:ascii="黑体" w:eastAsia="黑体"/>
          <w:b w:val="0"/>
        </w:rPr>
        <w:t>四、教学督导的形式和内容</w:t>
      </w:r>
      <w:bookmarkEnd w:id="46"/>
      <w:bookmarkEnd w:id="47"/>
    </w:p>
    <w:p>
      <w:pPr>
        <w:spacing w:line="600" w:lineRule="exact"/>
        <w:ind w:left="420"/>
        <w:rPr>
          <w:rFonts w:hint="eastAsia" w:ascii="仿宋_GB2312" w:eastAsia="仿宋_GB2312"/>
          <w:sz w:val="32"/>
          <w:szCs w:val="32"/>
        </w:rPr>
      </w:pPr>
      <w:r>
        <w:rPr>
          <w:rFonts w:hint="eastAsia" w:ascii="仿宋_GB2312" w:eastAsia="仿宋_GB2312"/>
          <w:sz w:val="32"/>
          <w:szCs w:val="32"/>
        </w:rPr>
        <w:t xml:space="preserve"> </w:t>
      </w:r>
      <w:r>
        <w:rPr>
          <w:rFonts w:hint="eastAsia" w:ascii="仿宋_GB2312" w:hAnsi="宋体" w:eastAsia="仿宋_GB2312"/>
          <w:sz w:val="32"/>
          <w:szCs w:val="32"/>
        </w:rPr>
        <w:t>（一）教学督导的形式</w:t>
      </w:r>
    </w:p>
    <w:p>
      <w:pPr>
        <w:spacing w:line="600" w:lineRule="exact"/>
        <w:ind w:firstLine="640" w:firstLineChars="200"/>
        <w:rPr>
          <w:rFonts w:hint="eastAsia" w:ascii="仿宋_GB2312" w:eastAsia="仿宋_GB2312"/>
          <w:sz w:val="32"/>
          <w:szCs w:val="32"/>
        </w:rPr>
      </w:pPr>
      <w:r>
        <w:rPr>
          <w:rFonts w:hint="eastAsia" w:ascii="仿宋_GB2312" w:hAnsi="宋体" w:eastAsia="仿宋_GB2312"/>
          <w:sz w:val="32"/>
          <w:szCs w:val="32"/>
        </w:rPr>
        <w:t>教学督导主要采取以下形式：</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1</w:t>
      </w:r>
      <w:r>
        <w:rPr>
          <w:rFonts w:hint="eastAsia" w:ascii="仿宋_GB2312" w:hAnsi="宋体" w:eastAsia="仿宋_GB2312"/>
          <w:sz w:val="32"/>
          <w:szCs w:val="32"/>
        </w:rPr>
        <w:t>、深入教学第一线，通过听课、查阅学生作业等途径掌握教学工作的第一手资料。</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2</w:t>
      </w:r>
      <w:r>
        <w:rPr>
          <w:rFonts w:hint="eastAsia" w:ascii="仿宋_GB2312" w:hAnsi="宋体" w:eastAsia="仿宋_GB2312"/>
          <w:sz w:val="32"/>
          <w:szCs w:val="32"/>
        </w:rPr>
        <w:t>、组织专题座谈会，了解教学情况。</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3</w:t>
      </w:r>
      <w:r>
        <w:rPr>
          <w:rFonts w:hint="eastAsia" w:ascii="仿宋_GB2312" w:hAnsi="宋体" w:eastAsia="仿宋_GB2312"/>
          <w:sz w:val="32"/>
          <w:szCs w:val="32"/>
        </w:rPr>
        <w:t>、组织示范教学，推进教学方法改革。</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4</w:t>
      </w:r>
      <w:r>
        <w:rPr>
          <w:rFonts w:hint="eastAsia" w:ascii="仿宋_GB2312" w:hAnsi="宋体" w:eastAsia="仿宋_GB2312"/>
          <w:sz w:val="32"/>
          <w:szCs w:val="32"/>
        </w:rPr>
        <w:t>、组织教学经验交流会。</w:t>
      </w:r>
    </w:p>
    <w:p>
      <w:pPr>
        <w:spacing w:line="600" w:lineRule="exact"/>
        <w:ind w:firstLine="425" w:firstLineChars="133"/>
        <w:rPr>
          <w:rFonts w:hint="eastAsia" w:ascii="仿宋_GB2312" w:eastAsia="仿宋_GB2312"/>
          <w:sz w:val="32"/>
          <w:szCs w:val="32"/>
        </w:rPr>
      </w:pPr>
      <w:r>
        <w:rPr>
          <w:rFonts w:hint="eastAsia" w:ascii="仿宋_GB2312" w:hAnsi="宋体" w:eastAsia="仿宋_GB2312"/>
          <w:sz w:val="32"/>
          <w:szCs w:val="32"/>
        </w:rPr>
        <w:t>（二）教学督导的主要内容</w:t>
      </w:r>
    </w:p>
    <w:p>
      <w:pPr>
        <w:spacing w:line="600" w:lineRule="exact"/>
        <w:ind w:firstLine="640" w:firstLineChars="200"/>
        <w:rPr>
          <w:rFonts w:hint="eastAsia" w:ascii="仿宋_GB2312" w:eastAsia="仿宋_GB2312"/>
          <w:sz w:val="32"/>
          <w:szCs w:val="32"/>
        </w:rPr>
      </w:pPr>
      <w:r>
        <w:rPr>
          <w:rFonts w:hint="eastAsia" w:ascii="仿宋_GB2312" w:hAnsi="宋体" w:eastAsia="仿宋_GB2312"/>
          <w:sz w:val="32"/>
          <w:szCs w:val="32"/>
        </w:rPr>
        <w:t>教学督导工作主要通过组织听课评课进行。在组织听课和评课过程中主要检查以下工作：</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1</w:t>
      </w:r>
      <w:r>
        <w:rPr>
          <w:rFonts w:hint="eastAsia" w:ascii="仿宋_GB2312" w:hAnsi="宋体" w:eastAsia="仿宋_GB2312"/>
          <w:sz w:val="32"/>
          <w:szCs w:val="32"/>
        </w:rPr>
        <w:t>、检查教学文件和教学准备情况。</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2</w:t>
      </w:r>
      <w:r>
        <w:rPr>
          <w:rFonts w:hint="eastAsia" w:ascii="仿宋_GB2312" w:hAnsi="宋体" w:eastAsia="仿宋_GB2312"/>
          <w:sz w:val="32"/>
          <w:szCs w:val="32"/>
        </w:rPr>
        <w:t>、检查教学进度。</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3</w:t>
      </w:r>
      <w:r>
        <w:rPr>
          <w:rFonts w:hint="eastAsia" w:ascii="仿宋_GB2312" w:hAnsi="宋体" w:eastAsia="仿宋_GB2312"/>
          <w:sz w:val="32"/>
          <w:szCs w:val="32"/>
        </w:rPr>
        <w:t>、了解教学方法运用情况。</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4</w:t>
      </w:r>
      <w:r>
        <w:rPr>
          <w:rFonts w:hint="eastAsia" w:ascii="仿宋_GB2312" w:hAnsi="宋体" w:eastAsia="仿宋_GB2312"/>
          <w:sz w:val="32"/>
          <w:szCs w:val="32"/>
        </w:rPr>
        <w:t>、检查教学质量和教学效果。</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5</w:t>
      </w:r>
      <w:r>
        <w:rPr>
          <w:rFonts w:hint="eastAsia" w:ascii="仿宋_GB2312" w:hAnsi="宋体" w:eastAsia="仿宋_GB2312"/>
          <w:sz w:val="32"/>
          <w:szCs w:val="32"/>
        </w:rPr>
        <w:t>、听取学生对教学方面的意见和建议。</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6</w:t>
      </w:r>
      <w:r>
        <w:rPr>
          <w:rFonts w:hint="eastAsia" w:ascii="仿宋_GB2312" w:hAnsi="宋体" w:eastAsia="仿宋_GB2312"/>
          <w:sz w:val="32"/>
          <w:szCs w:val="32"/>
        </w:rPr>
        <w:t>、听取任课教师对所授课程方面的意见和建议。</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7</w:t>
      </w:r>
      <w:r>
        <w:rPr>
          <w:rFonts w:hint="eastAsia" w:ascii="仿宋_GB2312" w:hAnsi="宋体" w:eastAsia="仿宋_GB2312"/>
          <w:sz w:val="32"/>
          <w:szCs w:val="32"/>
        </w:rPr>
        <w:t>、对课堂教学工作进行评价。</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8</w:t>
      </w:r>
      <w:r>
        <w:rPr>
          <w:rFonts w:hint="eastAsia" w:ascii="仿宋_GB2312" w:hAnsi="宋体" w:eastAsia="仿宋_GB2312"/>
          <w:sz w:val="32"/>
          <w:szCs w:val="32"/>
        </w:rPr>
        <w:t>、填写有关教学听课记录，及时向院主管领导反馈教学督导情况、意见和建议。</w:t>
      </w:r>
    </w:p>
    <w:p>
      <w:pPr>
        <w:pStyle w:val="4"/>
        <w:spacing w:before="0" w:after="0" w:line="415" w:lineRule="auto"/>
        <w:ind w:firstLine="640" w:firstLineChars="200"/>
        <w:rPr>
          <w:rFonts w:hint="eastAsia" w:ascii="黑体" w:eastAsia="黑体"/>
          <w:b w:val="0"/>
        </w:rPr>
      </w:pPr>
      <w:bookmarkStart w:id="48" w:name="_Toc496351347"/>
      <w:bookmarkStart w:id="49" w:name="_Toc496351239"/>
      <w:r>
        <w:rPr>
          <w:rFonts w:hint="eastAsia" w:ascii="黑体" w:eastAsia="黑体"/>
          <w:b w:val="0"/>
        </w:rPr>
        <w:t>五、教学督导的对象（范围）</w:t>
      </w:r>
      <w:bookmarkEnd w:id="48"/>
      <w:bookmarkEnd w:id="49"/>
    </w:p>
    <w:p>
      <w:pPr>
        <w:spacing w:line="600" w:lineRule="exact"/>
        <w:ind w:firstLine="640" w:firstLineChars="200"/>
        <w:rPr>
          <w:rFonts w:hint="eastAsia" w:ascii="仿宋_GB2312" w:eastAsia="仿宋_GB2312"/>
          <w:sz w:val="32"/>
          <w:szCs w:val="32"/>
        </w:rPr>
      </w:pPr>
      <w:r>
        <w:rPr>
          <w:rFonts w:hint="eastAsia" w:ascii="仿宋_GB2312" w:hAnsi="宋体" w:eastAsia="仿宋_GB2312"/>
          <w:sz w:val="32"/>
          <w:szCs w:val="32"/>
        </w:rPr>
        <w:t>教学督导的对象是在职任课教师。教学人员应虚心接受教学督导委员会的督导意见或建议，任何教学人员不得以任何理由拒绝、干扰教学督导人员的正常教学督导检查工作。</w:t>
      </w:r>
    </w:p>
    <w:p>
      <w:pPr>
        <w:pStyle w:val="4"/>
        <w:spacing w:before="0" w:after="0" w:line="415" w:lineRule="auto"/>
        <w:ind w:firstLine="640" w:firstLineChars="200"/>
        <w:rPr>
          <w:rFonts w:hint="eastAsia" w:ascii="黑体" w:eastAsia="黑体"/>
          <w:b w:val="0"/>
        </w:rPr>
      </w:pPr>
      <w:bookmarkStart w:id="50" w:name="_Toc496351240"/>
      <w:bookmarkStart w:id="51" w:name="_Toc496351348"/>
      <w:r>
        <w:rPr>
          <w:rFonts w:hint="eastAsia" w:ascii="黑体" w:eastAsia="黑体"/>
          <w:b w:val="0"/>
        </w:rPr>
        <w:t>六、教学督导的时间</w:t>
      </w:r>
      <w:bookmarkEnd w:id="50"/>
      <w:bookmarkEnd w:id="51"/>
    </w:p>
    <w:p>
      <w:pPr>
        <w:spacing w:line="600" w:lineRule="exact"/>
        <w:ind w:firstLine="640" w:firstLineChars="200"/>
        <w:rPr>
          <w:rFonts w:hint="eastAsia" w:ascii="仿宋_GB2312" w:eastAsia="仿宋_GB2312"/>
          <w:sz w:val="32"/>
          <w:szCs w:val="32"/>
        </w:rPr>
      </w:pPr>
      <w:r>
        <w:rPr>
          <w:rFonts w:hint="eastAsia" w:ascii="仿宋_GB2312" w:hAnsi="宋体" w:eastAsia="仿宋_GB2312"/>
          <w:sz w:val="32"/>
          <w:szCs w:val="32"/>
        </w:rPr>
        <w:t>教学督导工作原则上每学年进行一次。如遇学校或学院评选教学优秀奖或教学成果奖，可根据需要安排教学督导工作。</w:t>
      </w:r>
    </w:p>
    <w:p>
      <w:pPr>
        <w:pStyle w:val="4"/>
        <w:spacing w:before="0" w:after="0" w:line="415" w:lineRule="auto"/>
        <w:ind w:firstLine="640" w:firstLineChars="200"/>
        <w:rPr>
          <w:rFonts w:hint="eastAsia" w:ascii="黑体" w:eastAsia="黑体"/>
          <w:b w:val="0"/>
        </w:rPr>
      </w:pPr>
      <w:bookmarkStart w:id="52" w:name="_Toc496351241"/>
      <w:bookmarkStart w:id="53" w:name="_Toc496351349"/>
      <w:r>
        <w:rPr>
          <w:rFonts w:hint="eastAsia" w:ascii="黑体" w:eastAsia="黑体"/>
          <w:b w:val="0"/>
        </w:rPr>
        <w:t>七、教学督导员的待遇</w:t>
      </w:r>
      <w:bookmarkEnd w:id="52"/>
      <w:bookmarkEnd w:id="53"/>
    </w:p>
    <w:p>
      <w:pPr>
        <w:pStyle w:val="6"/>
        <w:spacing w:line="600" w:lineRule="exact"/>
        <w:ind w:firstLine="640"/>
        <w:rPr>
          <w:rFonts w:hint="eastAsia" w:ascii="仿宋_GB2312" w:hAnsi="宋体" w:eastAsia="仿宋_GB2312"/>
          <w:sz w:val="32"/>
          <w:szCs w:val="32"/>
        </w:rPr>
      </w:pPr>
      <w:r>
        <w:rPr>
          <w:rFonts w:hint="eastAsia" w:ascii="仿宋_GB2312" w:hAnsi="宋体" w:eastAsia="仿宋_GB2312"/>
          <w:sz w:val="32"/>
          <w:szCs w:val="32"/>
        </w:rPr>
        <w:t>为保证教学督导工作的正常进行，根据督导委员参与教学督导工作情况给予一定的工作量（具体标准由学院党政联席会议决定），并计入本人教学工作量。</w:t>
      </w:r>
    </w:p>
    <w:p>
      <w:pPr>
        <w:pStyle w:val="6"/>
        <w:spacing w:line="600" w:lineRule="exact"/>
        <w:ind w:firstLine="640"/>
        <w:rPr>
          <w:rFonts w:hint="eastAsia" w:ascii="仿宋_GB2312" w:eastAsia="仿宋_GB2312"/>
          <w:sz w:val="32"/>
          <w:szCs w:val="32"/>
        </w:rPr>
      </w:pPr>
    </w:p>
    <w:p>
      <w:pPr>
        <w:pStyle w:val="4"/>
        <w:spacing w:before="0" w:after="0" w:line="415" w:lineRule="auto"/>
        <w:ind w:firstLine="643" w:firstLineChars="200"/>
        <w:rPr>
          <w:rFonts w:hint="eastAsia" w:ascii="黑体" w:eastAsia="黑体"/>
          <w:b w:val="0"/>
        </w:rPr>
      </w:pPr>
      <w:r>
        <w:rPr>
          <w:rFonts w:ascii="黑体" w:hAnsi="黑体" w:eastAsia="黑体"/>
          <w:bCs w:val="0"/>
        </w:rPr>
        <w:br w:type="page"/>
      </w:r>
      <w:bookmarkStart w:id="54" w:name="_Toc496351242"/>
      <w:bookmarkStart w:id="55" w:name="_Toc496351350"/>
      <w:r>
        <w:rPr>
          <w:rFonts w:hint="eastAsia" w:ascii="黑体" w:eastAsia="黑体"/>
          <w:b w:val="0"/>
        </w:rPr>
        <w:t>八、附则</w:t>
      </w:r>
      <w:bookmarkEnd w:id="54"/>
      <w:bookmarkEnd w:id="55"/>
    </w:p>
    <w:p>
      <w:pPr>
        <w:spacing w:line="600" w:lineRule="exact"/>
        <w:ind w:firstLine="425" w:firstLineChars="133"/>
        <w:rPr>
          <w:rFonts w:hint="eastAsia" w:ascii="仿宋_GB2312" w:eastAsia="仿宋_GB2312"/>
          <w:sz w:val="32"/>
          <w:szCs w:val="32"/>
        </w:rPr>
      </w:pPr>
      <w:r>
        <w:rPr>
          <w:rFonts w:hint="eastAsia" w:ascii="仿宋_GB2312" w:hAnsi="宋体" w:eastAsia="仿宋_GB2312"/>
          <w:sz w:val="32"/>
          <w:szCs w:val="32"/>
        </w:rPr>
        <w:t>（一）以上规定遇学校有关规定变化时进行修改；亦可根据实际情况的变化和需要进行修改。</w:t>
      </w:r>
    </w:p>
    <w:p>
      <w:pPr>
        <w:spacing w:line="600" w:lineRule="exact"/>
        <w:ind w:firstLine="425" w:firstLineChars="133"/>
        <w:rPr>
          <w:rFonts w:hint="eastAsia" w:ascii="仿宋_GB2312" w:eastAsia="仿宋_GB2312"/>
          <w:sz w:val="32"/>
          <w:szCs w:val="32"/>
        </w:rPr>
      </w:pPr>
      <w:r>
        <w:rPr>
          <w:rFonts w:hint="eastAsia" w:ascii="仿宋_GB2312" w:hAnsi="宋体" w:eastAsia="仿宋_GB2312"/>
          <w:sz w:val="32"/>
          <w:szCs w:val="32"/>
        </w:rPr>
        <w:t>（二）以上规定由学院教学督导委员会负责解释。</w:t>
      </w:r>
    </w:p>
    <w:p>
      <w:pPr>
        <w:spacing w:line="600" w:lineRule="exact"/>
        <w:ind w:firstLine="640" w:firstLineChars="200"/>
        <w:rPr>
          <w:rFonts w:hint="eastAsia" w:ascii="仿宋_GB2312" w:eastAsia="仿宋_GB2312"/>
          <w:sz w:val="32"/>
          <w:szCs w:val="32"/>
        </w:rPr>
      </w:pPr>
    </w:p>
    <w:p>
      <w:pPr>
        <w:spacing w:line="600" w:lineRule="exact"/>
        <w:ind w:firstLine="640" w:firstLineChars="200"/>
        <w:rPr>
          <w:rFonts w:hint="eastAsia" w:ascii="仿宋_GB2312" w:eastAsia="仿宋_GB2312"/>
          <w:sz w:val="32"/>
          <w:szCs w:val="32"/>
        </w:rPr>
      </w:pPr>
    </w:p>
    <w:p>
      <w:pPr>
        <w:spacing w:line="600" w:lineRule="exact"/>
        <w:ind w:right="720"/>
        <w:jc w:val="right"/>
        <w:rPr>
          <w:rFonts w:hint="eastAsia" w:ascii="仿宋_GB2312" w:eastAsia="仿宋_GB2312"/>
          <w:sz w:val="32"/>
          <w:szCs w:val="32"/>
        </w:rPr>
      </w:pPr>
      <w:r>
        <w:rPr>
          <w:rFonts w:hint="eastAsia" w:ascii="仿宋_GB2312" w:hAnsi="宋体" w:eastAsia="仿宋_GB2312"/>
          <w:sz w:val="32"/>
          <w:szCs w:val="32"/>
        </w:rPr>
        <w:t>法学院</w:t>
      </w:r>
    </w:p>
    <w:p>
      <w:pPr>
        <w:spacing w:line="600" w:lineRule="exact"/>
        <w:ind w:right="-58"/>
        <w:jc w:val="right"/>
        <w:rPr>
          <w:rFonts w:hint="eastAsia" w:ascii="仿宋_GB2312" w:hAnsi="宋体" w:eastAsia="仿宋_GB2312"/>
          <w:bCs/>
          <w:sz w:val="32"/>
          <w:szCs w:val="32"/>
        </w:rPr>
      </w:pPr>
      <w:r>
        <w:rPr>
          <w:rStyle w:val="22"/>
          <w:rFonts w:hint="eastAsia" w:ascii="仿宋_GB2312" w:eastAsia="仿宋_GB2312"/>
          <w:b w:val="0"/>
          <w:sz w:val="32"/>
          <w:szCs w:val="32"/>
        </w:rPr>
        <w:t xml:space="preserve"> </w:t>
      </w:r>
      <w:r>
        <w:rPr>
          <w:rFonts w:hint="eastAsia" w:ascii="仿宋_GB2312" w:hAnsi="宋体" w:eastAsia="仿宋_GB2312"/>
          <w:bCs/>
          <w:sz w:val="32"/>
          <w:szCs w:val="32"/>
        </w:rPr>
        <w:t xml:space="preserve">     </w:t>
      </w:r>
      <w:r>
        <w:rPr>
          <w:rFonts w:hint="eastAsia" w:ascii="仿宋_GB2312" w:hAnsi="宋体" w:eastAsia="仿宋_GB2312"/>
          <w:bCs/>
          <w:sz w:val="32"/>
          <w:szCs w:val="32"/>
          <w:lang w:eastAsia="zh-CN"/>
        </w:rPr>
        <w:t>二〇二一</w:t>
      </w:r>
      <w:r>
        <w:rPr>
          <w:rFonts w:hint="eastAsia" w:ascii="仿宋_GB2312" w:hAnsi="宋体" w:eastAsia="仿宋_GB2312"/>
          <w:bCs/>
          <w:sz w:val="32"/>
          <w:szCs w:val="32"/>
        </w:rPr>
        <w:t>年三月十日</w:t>
      </w:r>
    </w:p>
    <w:p>
      <w:pPr>
        <w:pStyle w:val="3"/>
        <w:spacing w:line="600" w:lineRule="exact"/>
        <w:jc w:val="center"/>
        <w:rPr>
          <w:rFonts w:hint="eastAsia" w:ascii="方正小标宋简体" w:hAnsi="Times New Roman" w:eastAsia="方正小标宋简体" w:cs="Times New Roman"/>
          <w:b w:val="0"/>
          <w:sz w:val="44"/>
          <w:szCs w:val="44"/>
        </w:rPr>
      </w:pPr>
      <w:r>
        <w:rPr>
          <w:rStyle w:val="22"/>
          <w:rFonts w:hint="eastAsia" w:ascii="仿宋_GB2312" w:hAnsi="Verdana" w:eastAsia="仿宋_GB2312" w:cs="Times New Roman"/>
          <w:b/>
        </w:rPr>
        <w:br w:type="page"/>
      </w:r>
      <w:bookmarkStart w:id="56" w:name="_Toc484180122"/>
      <w:bookmarkStart w:id="57" w:name="_Toc496351243"/>
      <w:bookmarkStart w:id="58" w:name="_Toc496351351"/>
      <w:r>
        <w:rPr>
          <w:rFonts w:hint="eastAsia" w:ascii="方正小标宋简体" w:hAnsi="Times New Roman" w:eastAsia="方正小标宋简体" w:cs="Times New Roman"/>
          <w:b w:val="0"/>
          <w:sz w:val="44"/>
          <w:szCs w:val="44"/>
        </w:rPr>
        <w:t>法学院青年教师培养方案</w:t>
      </w:r>
      <w:bookmarkEnd w:id="56"/>
      <w:bookmarkEnd w:id="57"/>
      <w:bookmarkEnd w:id="58"/>
    </w:p>
    <w:p>
      <w:pPr>
        <w:spacing w:line="600" w:lineRule="exact"/>
        <w:ind w:firstLine="640" w:firstLineChars="200"/>
        <w:rPr>
          <w:rFonts w:hint="eastAsia" w:ascii="仿宋_GB2312" w:hAnsi="宋体" w:eastAsia="仿宋_GB2312"/>
          <w:sz w:val="32"/>
          <w:szCs w:val="32"/>
        </w:rPr>
      </w:pPr>
    </w:p>
    <w:p>
      <w:pPr>
        <w:spacing w:line="600" w:lineRule="exact"/>
        <w:ind w:firstLine="640" w:firstLineChars="200"/>
        <w:rPr>
          <w:rFonts w:hint="eastAsia" w:ascii="仿宋_GB2312" w:eastAsia="仿宋_GB2312"/>
          <w:sz w:val="32"/>
          <w:szCs w:val="32"/>
        </w:rPr>
      </w:pPr>
      <w:r>
        <w:rPr>
          <w:rFonts w:hint="eastAsia" w:ascii="仿宋_GB2312" w:hAnsi="宋体" w:eastAsia="仿宋_GB2312"/>
          <w:sz w:val="32"/>
          <w:szCs w:val="32"/>
        </w:rPr>
        <w:t>青年教师是学院发展的后续力量，是师资队伍建设的重要组成部分。随着学院规模的扩大、教师数量的增加，青年教师的比例比过去大大提高，占全院教师总数的</w:t>
      </w:r>
      <w:r>
        <w:rPr>
          <w:rFonts w:hint="eastAsia" w:ascii="仿宋_GB2312" w:eastAsia="仿宋_GB2312"/>
          <w:sz w:val="32"/>
          <w:szCs w:val="32"/>
        </w:rPr>
        <w:t>30%</w:t>
      </w:r>
      <w:r>
        <w:rPr>
          <w:rFonts w:hint="eastAsia" w:ascii="仿宋_GB2312" w:hAnsi="宋体" w:eastAsia="仿宋_GB2312"/>
          <w:sz w:val="32"/>
          <w:szCs w:val="32"/>
        </w:rPr>
        <w:t>。青年教师在为我院增添了活力的同时，在教学方法应用、教学水平和教学能力的提高方面急待改进。为了加强对我院青年教师的培养，使他们尽快走上讲台，成为一名合格教师，制定本培养方案。</w:t>
      </w:r>
    </w:p>
    <w:p>
      <w:pPr>
        <w:pStyle w:val="4"/>
        <w:spacing w:before="0" w:after="0" w:line="415" w:lineRule="auto"/>
        <w:ind w:firstLine="640" w:firstLineChars="200"/>
        <w:rPr>
          <w:rFonts w:hint="eastAsia" w:ascii="黑体" w:eastAsia="黑体"/>
          <w:b w:val="0"/>
        </w:rPr>
      </w:pPr>
      <w:bookmarkStart w:id="59" w:name="_Toc496351244"/>
      <w:bookmarkStart w:id="60" w:name="_Toc496351352"/>
      <w:r>
        <w:rPr>
          <w:rFonts w:hint="eastAsia" w:ascii="黑体" w:eastAsia="黑体"/>
          <w:b w:val="0"/>
        </w:rPr>
        <w:t>一、培养对象</w:t>
      </w:r>
      <w:bookmarkEnd w:id="59"/>
      <w:bookmarkEnd w:id="60"/>
    </w:p>
    <w:p>
      <w:pPr>
        <w:spacing w:line="600" w:lineRule="exact"/>
        <w:ind w:firstLine="425" w:firstLineChars="133"/>
        <w:rPr>
          <w:rFonts w:hint="eastAsia" w:ascii="仿宋_GB2312" w:eastAsia="仿宋_GB2312"/>
          <w:sz w:val="32"/>
          <w:szCs w:val="32"/>
        </w:rPr>
      </w:pPr>
      <w:r>
        <w:rPr>
          <w:rFonts w:hint="eastAsia" w:ascii="仿宋_GB2312" w:hAnsi="宋体" w:eastAsia="仿宋_GB2312"/>
          <w:sz w:val="32"/>
          <w:szCs w:val="32"/>
        </w:rPr>
        <w:t>（一）在我院工作的</w:t>
      </w:r>
      <w:r>
        <w:rPr>
          <w:rFonts w:hint="eastAsia" w:ascii="仿宋_GB2312" w:eastAsia="仿宋_GB2312"/>
          <w:sz w:val="32"/>
          <w:szCs w:val="32"/>
        </w:rPr>
        <w:t>40周</w:t>
      </w:r>
      <w:r>
        <w:rPr>
          <w:rFonts w:hint="eastAsia" w:ascii="仿宋_GB2312" w:hAnsi="宋体" w:eastAsia="仿宋_GB2312"/>
          <w:sz w:val="32"/>
          <w:szCs w:val="32"/>
        </w:rPr>
        <w:t>岁以下的教师。</w:t>
      </w:r>
    </w:p>
    <w:p>
      <w:pPr>
        <w:spacing w:line="600" w:lineRule="exact"/>
        <w:ind w:firstLine="425" w:firstLineChars="133"/>
        <w:rPr>
          <w:rFonts w:hint="eastAsia" w:ascii="仿宋_GB2312" w:eastAsia="仿宋_GB2312"/>
          <w:sz w:val="32"/>
          <w:szCs w:val="32"/>
        </w:rPr>
      </w:pPr>
      <w:r>
        <w:rPr>
          <w:rFonts w:hint="eastAsia" w:ascii="仿宋_GB2312" w:hAnsi="宋体" w:eastAsia="仿宋_GB2312"/>
          <w:sz w:val="32"/>
          <w:szCs w:val="32"/>
        </w:rPr>
        <w:t>（二）在我院工作的讲师职称不满两年的教师。</w:t>
      </w:r>
    </w:p>
    <w:p>
      <w:pPr>
        <w:pStyle w:val="4"/>
        <w:spacing w:before="0" w:after="0" w:line="415" w:lineRule="auto"/>
        <w:ind w:firstLine="640" w:firstLineChars="200"/>
        <w:rPr>
          <w:rFonts w:hint="eastAsia" w:ascii="黑体" w:eastAsia="黑体"/>
          <w:b w:val="0"/>
        </w:rPr>
      </w:pPr>
      <w:bookmarkStart w:id="61" w:name="_Toc496351353"/>
      <w:bookmarkStart w:id="62" w:name="_Toc496351245"/>
      <w:r>
        <w:rPr>
          <w:rFonts w:hint="eastAsia" w:ascii="黑体" w:eastAsia="黑体"/>
          <w:b w:val="0"/>
        </w:rPr>
        <w:t>二、培养方式</w:t>
      </w:r>
      <w:bookmarkEnd w:id="61"/>
      <w:bookmarkEnd w:id="62"/>
    </w:p>
    <w:p>
      <w:pPr>
        <w:spacing w:line="600" w:lineRule="exact"/>
        <w:ind w:firstLine="425" w:firstLineChars="133"/>
        <w:rPr>
          <w:rFonts w:hint="eastAsia" w:ascii="仿宋_GB2312" w:hAnsi="宋体" w:eastAsia="仿宋_GB2312"/>
          <w:sz w:val="32"/>
          <w:szCs w:val="32"/>
        </w:rPr>
      </w:pPr>
      <w:r>
        <w:rPr>
          <w:rFonts w:hint="eastAsia" w:ascii="仿宋_GB2312" w:hAnsi="宋体" w:eastAsia="仿宋_GB2312"/>
          <w:sz w:val="32"/>
          <w:szCs w:val="32"/>
        </w:rPr>
        <w:t>（一）学历教育。学院鼓励和支持青年教师攻读硕士、博士学位，提高学院教师的学历层次。</w:t>
      </w:r>
    </w:p>
    <w:p>
      <w:pPr>
        <w:spacing w:line="600" w:lineRule="exact"/>
        <w:ind w:firstLine="425" w:firstLineChars="133"/>
        <w:rPr>
          <w:rFonts w:hint="eastAsia" w:ascii="仿宋_GB2312" w:hAnsi="宋体" w:eastAsia="仿宋_GB2312"/>
          <w:sz w:val="32"/>
          <w:szCs w:val="32"/>
        </w:rPr>
      </w:pPr>
      <w:r>
        <w:rPr>
          <w:rFonts w:hint="eastAsia" w:ascii="仿宋_GB2312" w:hAnsi="宋体" w:eastAsia="仿宋_GB2312"/>
          <w:sz w:val="32"/>
          <w:szCs w:val="32"/>
        </w:rPr>
        <w:t>（二）脱产进修访学。通过选派到国内著名大学进修访学，改善教师的知识结构，提高青年教师的学术水平和教学能力。</w:t>
      </w:r>
    </w:p>
    <w:p>
      <w:pPr>
        <w:spacing w:line="600" w:lineRule="exact"/>
        <w:ind w:firstLine="425" w:firstLineChars="133"/>
        <w:rPr>
          <w:rFonts w:hint="eastAsia" w:ascii="仿宋_GB2312" w:hAnsi="宋体" w:eastAsia="仿宋_GB2312"/>
          <w:sz w:val="32"/>
          <w:szCs w:val="32"/>
        </w:rPr>
      </w:pPr>
      <w:r>
        <w:rPr>
          <w:rFonts w:hint="eastAsia" w:ascii="仿宋_GB2312" w:hAnsi="宋体" w:eastAsia="仿宋_GB2312"/>
          <w:sz w:val="32"/>
          <w:szCs w:val="32"/>
        </w:rPr>
        <w:t>（三）短期培训。通过参加岗位培训、学术会议，各类短期培训班等，转变教师观念，熟悉教师规范。</w:t>
      </w:r>
    </w:p>
    <w:p>
      <w:pPr>
        <w:spacing w:line="600" w:lineRule="exact"/>
        <w:ind w:firstLine="425" w:firstLineChars="133"/>
        <w:rPr>
          <w:rFonts w:hint="eastAsia" w:ascii="仿宋_GB2312" w:hAnsi="宋体" w:eastAsia="仿宋_GB2312"/>
          <w:sz w:val="32"/>
          <w:szCs w:val="32"/>
        </w:rPr>
      </w:pPr>
      <w:r>
        <w:rPr>
          <w:rFonts w:hint="eastAsia" w:ascii="仿宋_GB2312" w:hAnsi="宋体" w:eastAsia="仿宋_GB2312"/>
          <w:sz w:val="32"/>
          <w:szCs w:val="32"/>
        </w:rPr>
        <w:t>（四）在岗培训。主要通过导师制落实。学院为青年教师选派富有教学经验的老教师担任指导教师，指导帮助青年教师成长。青年教师跟班听课，帮助指导教师批阅作业、辅导答疑。在学习老教师教学经验的过程中，了解教学规范和工作流程，不断提高自己的教学能力。</w:t>
      </w:r>
    </w:p>
    <w:p>
      <w:pPr>
        <w:pStyle w:val="4"/>
        <w:spacing w:before="0" w:after="0" w:line="415" w:lineRule="auto"/>
        <w:ind w:firstLine="640" w:firstLineChars="200"/>
        <w:rPr>
          <w:rFonts w:hint="eastAsia" w:ascii="黑体" w:eastAsia="黑体"/>
          <w:b w:val="0"/>
        </w:rPr>
      </w:pPr>
      <w:bookmarkStart w:id="63" w:name="_Toc496351354"/>
      <w:bookmarkStart w:id="64" w:name="_Toc496351246"/>
      <w:r>
        <w:rPr>
          <w:rFonts w:hint="eastAsia" w:ascii="黑体" w:eastAsia="黑体"/>
          <w:b w:val="0"/>
        </w:rPr>
        <w:t>三、培养措施</w:t>
      </w:r>
      <w:bookmarkEnd w:id="63"/>
      <w:bookmarkEnd w:id="64"/>
    </w:p>
    <w:p>
      <w:pPr>
        <w:spacing w:line="600" w:lineRule="exact"/>
        <w:ind w:firstLine="425" w:firstLineChars="133"/>
        <w:rPr>
          <w:rFonts w:hint="eastAsia" w:ascii="仿宋_GB2312" w:hAnsi="宋体" w:eastAsia="仿宋_GB2312"/>
          <w:sz w:val="32"/>
          <w:szCs w:val="32"/>
        </w:rPr>
      </w:pPr>
      <w:r>
        <w:rPr>
          <w:rFonts w:hint="eastAsia" w:ascii="仿宋_GB2312" w:hAnsi="宋体" w:eastAsia="仿宋_GB2312"/>
          <w:sz w:val="32"/>
          <w:szCs w:val="32"/>
        </w:rPr>
        <w:t>（一）实施青年教师导师制度。凡讲师以下职称的青年教师，由各系选派一名副高职称以上的富有教学经验的教师担任指导教师。</w:t>
      </w:r>
    </w:p>
    <w:p>
      <w:pPr>
        <w:spacing w:line="600" w:lineRule="exact"/>
        <w:ind w:firstLine="640" w:firstLineChars="200"/>
        <w:rPr>
          <w:rFonts w:hint="eastAsia" w:ascii="仿宋_GB2312" w:eastAsia="仿宋_GB2312"/>
          <w:sz w:val="32"/>
          <w:szCs w:val="32"/>
        </w:rPr>
      </w:pPr>
      <w:r>
        <w:rPr>
          <w:rFonts w:hint="eastAsia" w:ascii="仿宋_GB2312" w:hAnsi="宋体" w:eastAsia="仿宋_GB2312"/>
          <w:sz w:val="32"/>
          <w:szCs w:val="32"/>
        </w:rPr>
        <w:t>指导教师的职责是：</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1</w:t>
      </w:r>
      <w:r>
        <w:rPr>
          <w:rFonts w:hint="eastAsia" w:ascii="仿宋_GB2312" w:hAnsi="宋体" w:eastAsia="仿宋_GB2312"/>
          <w:sz w:val="32"/>
          <w:szCs w:val="32"/>
        </w:rPr>
        <w:t>、帮助青年教师制定学习进修计划。</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2</w:t>
      </w:r>
      <w:r>
        <w:rPr>
          <w:rFonts w:hint="eastAsia" w:ascii="仿宋_GB2312" w:hAnsi="宋体" w:eastAsia="仿宋_GB2312"/>
          <w:sz w:val="32"/>
          <w:szCs w:val="32"/>
        </w:rPr>
        <w:t>、为青年教师指定学习、阅读资料，并负责检查落实。</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3</w:t>
      </w:r>
      <w:r>
        <w:rPr>
          <w:rFonts w:hint="eastAsia" w:ascii="仿宋_GB2312" w:hAnsi="宋体" w:eastAsia="仿宋_GB2312"/>
          <w:sz w:val="32"/>
          <w:szCs w:val="32"/>
        </w:rPr>
        <w:t>、督促青年教师跟班听课，安排批改作业，参与辅导答疑。</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4</w:t>
      </w:r>
      <w:r>
        <w:rPr>
          <w:rFonts w:hint="eastAsia" w:ascii="仿宋_GB2312" w:hAnsi="宋体" w:eastAsia="仿宋_GB2312"/>
          <w:sz w:val="32"/>
          <w:szCs w:val="32"/>
        </w:rPr>
        <w:t>、指导青年教师备课，并检查教案，审阅讲义。</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5</w:t>
      </w:r>
      <w:r>
        <w:rPr>
          <w:rFonts w:hint="eastAsia" w:ascii="仿宋_GB2312" w:hAnsi="宋体" w:eastAsia="仿宋_GB2312"/>
          <w:sz w:val="32"/>
          <w:szCs w:val="32"/>
        </w:rPr>
        <w:t>、指导青年教师编写教学文件。</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6</w:t>
      </w:r>
      <w:r>
        <w:rPr>
          <w:rFonts w:hint="eastAsia" w:ascii="仿宋_GB2312" w:hAnsi="宋体" w:eastAsia="仿宋_GB2312"/>
          <w:sz w:val="32"/>
          <w:szCs w:val="32"/>
        </w:rPr>
        <w:t>、帮助指导青年教师做好试教工作。</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7</w:t>
      </w:r>
      <w:r>
        <w:rPr>
          <w:rFonts w:hint="eastAsia" w:ascii="仿宋_GB2312" w:hAnsi="宋体" w:eastAsia="仿宋_GB2312"/>
          <w:sz w:val="32"/>
          <w:szCs w:val="32"/>
        </w:rPr>
        <w:t>、指导并督促青年教师学习教学管理文件，熟悉教学管理规范。</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8</w:t>
      </w:r>
      <w:r>
        <w:rPr>
          <w:rFonts w:hint="eastAsia" w:ascii="仿宋_GB2312" w:hAnsi="宋体" w:eastAsia="仿宋_GB2312"/>
          <w:sz w:val="32"/>
          <w:szCs w:val="32"/>
        </w:rPr>
        <w:t>、关心青年教师的思想，注重师德培养。</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9</w:t>
      </w:r>
      <w:r>
        <w:rPr>
          <w:rFonts w:hint="eastAsia" w:ascii="仿宋_GB2312" w:hAnsi="宋体" w:eastAsia="仿宋_GB2312"/>
          <w:sz w:val="32"/>
          <w:szCs w:val="32"/>
        </w:rPr>
        <w:t>、督促所指导的青年教师完成学院、系安排的应由其完成的其他工作。</w:t>
      </w:r>
    </w:p>
    <w:p>
      <w:pPr>
        <w:spacing w:line="600" w:lineRule="exact"/>
        <w:ind w:firstLine="640" w:firstLineChars="200"/>
        <w:rPr>
          <w:rFonts w:hint="eastAsia" w:ascii="仿宋_GB2312" w:eastAsia="仿宋_GB2312"/>
          <w:sz w:val="32"/>
          <w:szCs w:val="32"/>
        </w:rPr>
      </w:pPr>
      <w:r>
        <w:rPr>
          <w:rFonts w:hint="eastAsia" w:ascii="仿宋_GB2312" w:hAnsi="宋体" w:eastAsia="仿宋_GB2312"/>
          <w:sz w:val="32"/>
          <w:szCs w:val="32"/>
        </w:rPr>
        <w:t>指导教师在完成上述指导工作的前提下，学院为指导教师记入一定的教学工作量，并在年终考核和津贴中予以体现。</w:t>
      </w:r>
    </w:p>
    <w:p>
      <w:pPr>
        <w:spacing w:line="600" w:lineRule="exact"/>
        <w:ind w:firstLine="425" w:firstLineChars="133"/>
        <w:rPr>
          <w:rFonts w:hint="eastAsia" w:ascii="仿宋_GB2312" w:eastAsia="仿宋_GB2312"/>
          <w:sz w:val="32"/>
          <w:szCs w:val="32"/>
        </w:rPr>
      </w:pPr>
      <w:r>
        <w:rPr>
          <w:rFonts w:hint="eastAsia" w:ascii="仿宋_GB2312" w:hAnsi="宋体" w:eastAsia="仿宋_GB2312"/>
          <w:sz w:val="32"/>
          <w:szCs w:val="32"/>
        </w:rPr>
        <w:t>（二）实施分年度培养计划。合理安排当前教学工作与师资培养的关系，对在我院工作的青年教师实施分年度培养计划。目前，学院专业建设急需教师，为了保证正常教学不受影响，不能一次性派出很多教师进修学习，只能分期分批逐步培养。为此，学院制定了分年度培养计划。</w:t>
      </w:r>
    </w:p>
    <w:p>
      <w:pPr>
        <w:spacing w:line="600" w:lineRule="exact"/>
        <w:ind w:firstLine="425" w:firstLineChars="133"/>
        <w:rPr>
          <w:rFonts w:hint="eastAsia" w:ascii="仿宋_GB2312" w:eastAsia="仿宋_GB2312"/>
          <w:sz w:val="32"/>
          <w:szCs w:val="32"/>
        </w:rPr>
      </w:pPr>
      <w:r>
        <w:rPr>
          <w:rFonts w:hint="eastAsia" w:ascii="仿宋_GB2312" w:hAnsi="宋体" w:eastAsia="仿宋_GB2312"/>
          <w:sz w:val="32"/>
          <w:szCs w:val="32"/>
        </w:rPr>
        <w:t>（三）实行青年教师听课制度。要求每位青年教师在每一学期听副教授职称以上教学经验丰富、效果好的教师的课不少于</w:t>
      </w:r>
      <w:r>
        <w:rPr>
          <w:rFonts w:hint="eastAsia" w:ascii="仿宋_GB2312" w:eastAsia="仿宋_GB2312"/>
          <w:sz w:val="32"/>
          <w:szCs w:val="32"/>
        </w:rPr>
        <w:t>2</w:t>
      </w:r>
      <w:r>
        <w:rPr>
          <w:rFonts w:hint="eastAsia" w:ascii="仿宋_GB2312" w:hAnsi="宋体" w:eastAsia="仿宋_GB2312"/>
          <w:sz w:val="32"/>
          <w:szCs w:val="32"/>
        </w:rPr>
        <w:t>次，并填写《法学院青年教师听课记录表》，经任课教师和主管院长签名后报学院办公室备案。</w:t>
      </w:r>
    </w:p>
    <w:p>
      <w:pPr>
        <w:spacing w:line="600" w:lineRule="exact"/>
        <w:ind w:firstLine="1928" w:firstLineChars="600"/>
        <w:rPr>
          <w:rFonts w:hint="eastAsia" w:ascii="仿宋_GB2312" w:eastAsia="仿宋_GB2312"/>
          <w:b/>
          <w:bCs/>
          <w:sz w:val="32"/>
          <w:szCs w:val="32"/>
        </w:rPr>
      </w:pPr>
    </w:p>
    <w:p>
      <w:pPr>
        <w:spacing w:line="600" w:lineRule="exact"/>
        <w:ind w:firstLine="640" w:firstLineChars="200"/>
        <w:rPr>
          <w:rFonts w:hint="eastAsia" w:ascii="黑体" w:hAnsi="黑体" w:eastAsia="黑体"/>
          <w:bCs/>
          <w:sz w:val="32"/>
          <w:szCs w:val="32"/>
        </w:rPr>
      </w:pPr>
    </w:p>
    <w:p>
      <w:pPr>
        <w:spacing w:line="600" w:lineRule="exact"/>
        <w:ind w:right="720"/>
        <w:jc w:val="right"/>
        <w:rPr>
          <w:rFonts w:hint="eastAsia" w:ascii="仿宋_GB2312" w:eastAsia="仿宋_GB2312"/>
          <w:sz w:val="32"/>
          <w:szCs w:val="32"/>
        </w:rPr>
      </w:pPr>
      <w:r>
        <w:rPr>
          <w:rFonts w:hint="eastAsia" w:ascii="仿宋_GB2312" w:hAnsi="宋体" w:eastAsia="仿宋_GB2312"/>
          <w:sz w:val="32"/>
          <w:szCs w:val="32"/>
        </w:rPr>
        <w:t>法学院</w:t>
      </w:r>
    </w:p>
    <w:p>
      <w:pPr>
        <w:pStyle w:val="18"/>
        <w:spacing w:before="0" w:beforeAutospacing="0" w:after="0" w:afterAutospacing="0" w:line="600" w:lineRule="exact"/>
        <w:jc w:val="right"/>
        <w:rPr>
          <w:rStyle w:val="22"/>
          <w:rFonts w:hint="eastAsia" w:ascii="仿宋_GB2312" w:hAnsi="Times New Roman" w:eastAsia="仿宋_GB2312" w:cs="Times New Roman"/>
          <w:b w:val="0"/>
          <w:sz w:val="32"/>
          <w:szCs w:val="32"/>
        </w:rPr>
      </w:pPr>
      <w:r>
        <w:rPr>
          <w:rStyle w:val="22"/>
          <w:rFonts w:hint="eastAsia" w:ascii="仿宋_GB2312" w:hAnsi="Times New Roman" w:eastAsia="仿宋_GB2312" w:cs="Times New Roman"/>
          <w:b w:val="0"/>
          <w:sz w:val="32"/>
          <w:szCs w:val="32"/>
        </w:rPr>
        <w:t xml:space="preserve">  </w:t>
      </w:r>
      <w:r>
        <w:rPr>
          <w:rStyle w:val="22"/>
          <w:rFonts w:hint="eastAsia" w:ascii="仿宋_GB2312" w:hAnsi="Verdana" w:eastAsia="仿宋_GB2312" w:cs="Times New Roman"/>
          <w:b w:val="0"/>
          <w:sz w:val="32"/>
          <w:szCs w:val="32"/>
          <w:lang w:eastAsia="zh-CN"/>
        </w:rPr>
        <w:t>二〇二一</w:t>
      </w:r>
      <w:r>
        <w:rPr>
          <w:rStyle w:val="22"/>
          <w:rFonts w:hint="eastAsia" w:ascii="仿宋_GB2312" w:hAnsi="Verdana" w:eastAsia="仿宋_GB2312" w:cs="Times New Roman"/>
          <w:b w:val="0"/>
          <w:sz w:val="32"/>
          <w:szCs w:val="32"/>
        </w:rPr>
        <w:t>年三月十日</w:t>
      </w:r>
    </w:p>
    <w:p>
      <w:pPr>
        <w:pStyle w:val="3"/>
        <w:spacing w:line="600" w:lineRule="exact"/>
        <w:jc w:val="center"/>
        <w:rPr>
          <w:rFonts w:hint="eastAsia" w:ascii="方正小标宋简体" w:hAnsi="Times New Roman" w:eastAsia="方正小标宋简体" w:cs="Times New Roman"/>
          <w:b w:val="0"/>
          <w:sz w:val="44"/>
          <w:szCs w:val="44"/>
        </w:rPr>
      </w:pPr>
      <w:r>
        <w:rPr>
          <w:rFonts w:hint="eastAsia" w:ascii="仿宋_GB2312" w:hAnsi="Times New Roman" w:eastAsia="仿宋_GB2312" w:cs="Times New Roman"/>
          <w:b w:val="0"/>
        </w:rPr>
        <w:br w:type="page"/>
      </w:r>
      <w:bookmarkStart w:id="65" w:name="_Toc496351247"/>
      <w:bookmarkStart w:id="66" w:name="_Toc496351355"/>
      <w:bookmarkStart w:id="67" w:name="_Toc484180119"/>
      <w:r>
        <w:rPr>
          <w:rFonts w:hint="eastAsia" w:ascii="方正小标宋简体" w:hAnsi="Times New Roman" w:eastAsia="方正小标宋简体" w:cs="Times New Roman"/>
          <w:b w:val="0"/>
          <w:sz w:val="44"/>
          <w:szCs w:val="44"/>
        </w:rPr>
        <w:t>法学院青年教师导师制实施办法</w:t>
      </w:r>
      <w:bookmarkEnd w:id="65"/>
      <w:bookmarkEnd w:id="66"/>
      <w:bookmarkEnd w:id="67"/>
    </w:p>
    <w:p>
      <w:pPr>
        <w:spacing w:line="600" w:lineRule="exact"/>
        <w:ind w:firstLine="640" w:firstLineChars="200"/>
        <w:rPr>
          <w:rFonts w:hint="eastAsia" w:ascii="仿宋_GB2312" w:hAnsi="宋体" w:eastAsia="仿宋_GB2312"/>
          <w:sz w:val="32"/>
          <w:szCs w:val="32"/>
        </w:rPr>
      </w:pPr>
    </w:p>
    <w:p>
      <w:pPr>
        <w:spacing w:line="600" w:lineRule="exact"/>
        <w:ind w:firstLine="640" w:firstLineChars="200"/>
        <w:rPr>
          <w:rFonts w:hint="eastAsia" w:ascii="仿宋_GB2312" w:eastAsia="仿宋_GB2312"/>
          <w:sz w:val="32"/>
          <w:szCs w:val="32"/>
        </w:rPr>
      </w:pPr>
      <w:r>
        <w:rPr>
          <w:rFonts w:hint="eastAsia" w:ascii="仿宋_GB2312" w:hAnsi="宋体" w:eastAsia="仿宋_GB2312"/>
          <w:sz w:val="32"/>
          <w:szCs w:val="32"/>
        </w:rPr>
        <w:t>青年教师是学院发展的后续力量，是师资队伍建设的重要组成部分。随着学院规模的扩大，教师数量的增加，青年教师的比例比过去大大提高，占全院教师总数的</w:t>
      </w:r>
      <w:r>
        <w:rPr>
          <w:rFonts w:hint="eastAsia" w:ascii="仿宋_GB2312" w:eastAsia="仿宋_GB2312"/>
          <w:sz w:val="32"/>
          <w:szCs w:val="32"/>
        </w:rPr>
        <w:t>30%</w:t>
      </w:r>
      <w:r>
        <w:rPr>
          <w:rFonts w:hint="eastAsia" w:ascii="仿宋_GB2312" w:hAnsi="宋体" w:eastAsia="仿宋_GB2312"/>
          <w:sz w:val="32"/>
          <w:szCs w:val="32"/>
        </w:rPr>
        <w:t>。青年教师在为我院增添了活力的同时，在教学方法应用、教学水平和教学能力的提高方面急待改进。为了加强对我院青年教师的培养，使他们尽快走上讲台，成为一名合格教师，制定青年教师导师制实施办法。</w:t>
      </w:r>
    </w:p>
    <w:p>
      <w:pPr>
        <w:spacing w:line="600" w:lineRule="exact"/>
        <w:ind w:firstLine="643" w:firstLineChars="200"/>
        <w:rPr>
          <w:rFonts w:hint="eastAsia" w:ascii="仿宋_GB2312" w:eastAsia="仿宋_GB2312"/>
          <w:sz w:val="32"/>
          <w:szCs w:val="32"/>
        </w:rPr>
      </w:pPr>
      <w:r>
        <w:rPr>
          <w:rFonts w:hint="eastAsia" w:ascii="仿宋_GB2312" w:hAnsi="宋体" w:eastAsia="仿宋_GB2312"/>
          <w:b/>
          <w:sz w:val="32"/>
          <w:szCs w:val="32"/>
        </w:rPr>
        <w:t>第一条</w:t>
      </w:r>
      <w:r>
        <w:rPr>
          <w:rFonts w:hint="eastAsia" w:ascii="仿宋_GB2312" w:eastAsia="仿宋_GB2312"/>
          <w:sz w:val="32"/>
          <w:szCs w:val="32"/>
        </w:rPr>
        <w:t xml:space="preserve"> </w:t>
      </w:r>
      <w:r>
        <w:rPr>
          <w:rFonts w:hint="eastAsia" w:ascii="仿宋_GB2312" w:hAnsi="宋体" w:eastAsia="仿宋_GB2312"/>
          <w:sz w:val="32"/>
          <w:szCs w:val="32"/>
        </w:rPr>
        <w:t>本办法中的青年教师是指在我院任职的40周岁以下的专职教师。</w:t>
      </w:r>
    </w:p>
    <w:p>
      <w:pPr>
        <w:spacing w:line="600" w:lineRule="exact"/>
        <w:ind w:firstLine="643" w:firstLineChars="200"/>
        <w:rPr>
          <w:rFonts w:hint="eastAsia" w:ascii="仿宋_GB2312" w:eastAsia="仿宋_GB2312"/>
          <w:sz w:val="32"/>
          <w:szCs w:val="32"/>
        </w:rPr>
      </w:pPr>
      <w:r>
        <w:rPr>
          <w:rFonts w:hint="eastAsia" w:ascii="仿宋_GB2312" w:hAnsi="宋体" w:eastAsia="仿宋_GB2312"/>
          <w:b/>
          <w:sz w:val="32"/>
          <w:szCs w:val="32"/>
        </w:rPr>
        <w:t>第二条</w:t>
      </w:r>
      <w:r>
        <w:rPr>
          <w:rFonts w:hint="eastAsia" w:ascii="仿宋_GB2312" w:eastAsia="仿宋_GB2312"/>
          <w:sz w:val="32"/>
          <w:szCs w:val="32"/>
        </w:rPr>
        <w:t xml:space="preserve"> </w:t>
      </w:r>
      <w:r>
        <w:rPr>
          <w:rFonts w:hint="eastAsia" w:ascii="仿宋_GB2312" w:hAnsi="宋体" w:eastAsia="仿宋_GB2312"/>
          <w:sz w:val="32"/>
          <w:szCs w:val="32"/>
        </w:rPr>
        <w:t>凡讲师及以下职称的青年教师，必须指派指导教师。指导教师原则上从青年教师所在系教师中选派。每位青年教师选派一名指导教师。</w:t>
      </w:r>
    </w:p>
    <w:p>
      <w:pPr>
        <w:spacing w:line="600" w:lineRule="exact"/>
        <w:ind w:firstLine="643" w:firstLineChars="200"/>
        <w:rPr>
          <w:rFonts w:hint="eastAsia" w:ascii="仿宋_GB2312" w:eastAsia="仿宋_GB2312"/>
          <w:sz w:val="32"/>
          <w:szCs w:val="32"/>
        </w:rPr>
      </w:pPr>
      <w:r>
        <w:rPr>
          <w:rFonts w:hint="eastAsia" w:ascii="仿宋_GB2312" w:hAnsi="宋体" w:eastAsia="仿宋_GB2312"/>
          <w:b/>
          <w:sz w:val="32"/>
          <w:szCs w:val="32"/>
        </w:rPr>
        <w:t>第三条</w:t>
      </w:r>
      <w:r>
        <w:rPr>
          <w:rFonts w:hint="eastAsia" w:ascii="仿宋_GB2312" w:eastAsia="仿宋_GB2312"/>
          <w:sz w:val="32"/>
          <w:szCs w:val="32"/>
        </w:rPr>
        <w:t xml:space="preserve"> </w:t>
      </w:r>
      <w:r>
        <w:rPr>
          <w:rFonts w:hint="eastAsia" w:ascii="仿宋_GB2312" w:hAnsi="宋体" w:eastAsia="仿宋_GB2312"/>
          <w:sz w:val="32"/>
          <w:szCs w:val="32"/>
        </w:rPr>
        <w:t>指导教师由各系主任负责选派。为青年教师选派的指导教师须经被选派教师本人同意，报学院主管院长审批备案后，方能履行指导教师职责。</w:t>
      </w:r>
    </w:p>
    <w:p>
      <w:pPr>
        <w:spacing w:line="600" w:lineRule="exact"/>
        <w:ind w:firstLine="643" w:firstLineChars="200"/>
        <w:rPr>
          <w:rFonts w:hint="eastAsia" w:ascii="仿宋_GB2312" w:eastAsia="仿宋_GB2312"/>
          <w:sz w:val="32"/>
          <w:szCs w:val="32"/>
        </w:rPr>
      </w:pPr>
      <w:r>
        <w:rPr>
          <w:rFonts w:hint="eastAsia" w:ascii="仿宋_GB2312" w:hAnsi="宋体" w:eastAsia="仿宋_GB2312"/>
          <w:b/>
          <w:sz w:val="32"/>
          <w:szCs w:val="32"/>
        </w:rPr>
        <w:t>第四条</w:t>
      </w:r>
      <w:r>
        <w:rPr>
          <w:rFonts w:hint="eastAsia" w:ascii="仿宋_GB2312" w:eastAsia="仿宋_GB2312"/>
          <w:sz w:val="32"/>
          <w:szCs w:val="32"/>
        </w:rPr>
        <w:t xml:space="preserve"> </w:t>
      </w:r>
      <w:r>
        <w:rPr>
          <w:rFonts w:hint="eastAsia" w:ascii="仿宋_GB2312" w:hAnsi="宋体" w:eastAsia="仿宋_GB2312"/>
          <w:sz w:val="32"/>
          <w:szCs w:val="32"/>
        </w:rPr>
        <w:t>指导教师须由副高职称以上的富有教学经验的教师担任。</w:t>
      </w:r>
    </w:p>
    <w:p>
      <w:pPr>
        <w:spacing w:line="600" w:lineRule="exact"/>
        <w:ind w:firstLine="643" w:firstLineChars="200"/>
        <w:rPr>
          <w:rFonts w:hint="eastAsia" w:ascii="仿宋_GB2312" w:eastAsia="仿宋_GB2312"/>
          <w:sz w:val="32"/>
          <w:szCs w:val="32"/>
        </w:rPr>
      </w:pPr>
      <w:r>
        <w:rPr>
          <w:rFonts w:hint="eastAsia" w:ascii="仿宋_GB2312" w:hAnsi="宋体" w:eastAsia="仿宋_GB2312"/>
          <w:b/>
          <w:sz w:val="32"/>
          <w:szCs w:val="32"/>
        </w:rPr>
        <w:t>第五条</w:t>
      </w:r>
      <w:r>
        <w:rPr>
          <w:rFonts w:hint="eastAsia" w:ascii="仿宋_GB2312" w:eastAsia="仿宋_GB2312"/>
          <w:sz w:val="32"/>
          <w:szCs w:val="32"/>
        </w:rPr>
        <w:t xml:space="preserve"> </w:t>
      </w:r>
      <w:r>
        <w:rPr>
          <w:rFonts w:hint="eastAsia" w:ascii="仿宋_GB2312" w:hAnsi="宋体" w:eastAsia="仿宋_GB2312"/>
          <w:sz w:val="32"/>
          <w:szCs w:val="32"/>
        </w:rPr>
        <w:t>指导教师的职责：</w:t>
      </w:r>
    </w:p>
    <w:p>
      <w:pPr>
        <w:spacing w:line="600" w:lineRule="exact"/>
        <w:ind w:firstLine="425" w:firstLineChars="133"/>
        <w:rPr>
          <w:rFonts w:hint="eastAsia" w:ascii="仿宋_GB2312" w:eastAsia="仿宋_GB2312"/>
          <w:sz w:val="32"/>
          <w:szCs w:val="32"/>
        </w:rPr>
      </w:pPr>
      <w:r>
        <w:rPr>
          <w:rFonts w:hint="eastAsia" w:ascii="仿宋_GB2312" w:hAnsi="宋体" w:eastAsia="仿宋_GB2312"/>
          <w:sz w:val="32"/>
          <w:szCs w:val="32"/>
        </w:rPr>
        <w:t>（一）帮助青年教师制定学习进修计划。</w:t>
      </w:r>
    </w:p>
    <w:p>
      <w:pPr>
        <w:spacing w:line="600" w:lineRule="exact"/>
        <w:ind w:firstLine="425" w:firstLineChars="133"/>
        <w:rPr>
          <w:rFonts w:hint="eastAsia" w:ascii="仿宋_GB2312" w:eastAsia="仿宋_GB2312"/>
          <w:sz w:val="32"/>
          <w:szCs w:val="32"/>
        </w:rPr>
      </w:pPr>
      <w:r>
        <w:rPr>
          <w:rFonts w:hint="eastAsia" w:ascii="仿宋_GB2312" w:hAnsi="宋体" w:eastAsia="仿宋_GB2312"/>
          <w:sz w:val="32"/>
          <w:szCs w:val="32"/>
        </w:rPr>
        <w:t>（二）为青年教师指定学习、阅读资料，并负责检查落实。</w:t>
      </w:r>
    </w:p>
    <w:p>
      <w:pPr>
        <w:spacing w:line="600" w:lineRule="exact"/>
        <w:ind w:firstLine="566" w:firstLineChars="177"/>
        <w:rPr>
          <w:rFonts w:hint="eastAsia" w:ascii="仿宋_GB2312" w:hAnsi="宋体" w:eastAsia="仿宋_GB2312"/>
          <w:sz w:val="32"/>
          <w:szCs w:val="32"/>
        </w:rPr>
      </w:pPr>
      <w:r>
        <w:rPr>
          <w:rFonts w:hint="eastAsia" w:ascii="仿宋_GB2312" w:hAnsi="宋体" w:eastAsia="仿宋_GB2312"/>
          <w:sz w:val="32"/>
          <w:szCs w:val="32"/>
        </w:rPr>
        <w:t>（三）督促青年教师跟班听课，安排批改作业，参与辅导答疑。</w:t>
      </w:r>
    </w:p>
    <w:p>
      <w:pPr>
        <w:spacing w:line="600" w:lineRule="exact"/>
        <w:ind w:firstLine="566" w:firstLineChars="177"/>
        <w:rPr>
          <w:rFonts w:hint="eastAsia" w:ascii="仿宋_GB2312" w:hAnsi="宋体" w:eastAsia="仿宋_GB2312"/>
          <w:sz w:val="32"/>
          <w:szCs w:val="32"/>
        </w:rPr>
      </w:pPr>
      <w:r>
        <w:rPr>
          <w:rFonts w:hint="eastAsia" w:ascii="仿宋_GB2312" w:hAnsi="宋体" w:eastAsia="仿宋_GB2312"/>
          <w:sz w:val="32"/>
          <w:szCs w:val="32"/>
        </w:rPr>
        <w:t>（四）指导青年教师备课，并检查教案，审阅讲。</w:t>
      </w:r>
    </w:p>
    <w:p>
      <w:pPr>
        <w:spacing w:line="600" w:lineRule="exact"/>
        <w:ind w:firstLine="566" w:firstLineChars="177"/>
        <w:rPr>
          <w:rFonts w:hint="eastAsia" w:ascii="仿宋_GB2312" w:hAnsi="宋体" w:eastAsia="仿宋_GB2312"/>
          <w:sz w:val="32"/>
          <w:szCs w:val="32"/>
        </w:rPr>
      </w:pPr>
      <w:r>
        <w:rPr>
          <w:rFonts w:hint="eastAsia" w:ascii="仿宋_GB2312" w:hAnsi="宋体" w:eastAsia="仿宋_GB2312"/>
          <w:sz w:val="32"/>
          <w:szCs w:val="32"/>
        </w:rPr>
        <w:t>（五）指导青年教师编写教学文件。</w:t>
      </w:r>
    </w:p>
    <w:p>
      <w:pPr>
        <w:spacing w:line="600" w:lineRule="exact"/>
        <w:ind w:firstLine="566" w:firstLineChars="177"/>
        <w:rPr>
          <w:rFonts w:hint="eastAsia" w:ascii="仿宋_GB2312" w:hAnsi="宋体" w:eastAsia="仿宋_GB2312"/>
          <w:sz w:val="32"/>
          <w:szCs w:val="32"/>
        </w:rPr>
      </w:pPr>
      <w:r>
        <w:rPr>
          <w:rFonts w:hint="eastAsia" w:ascii="仿宋_GB2312" w:hAnsi="宋体" w:eastAsia="仿宋_GB2312"/>
          <w:sz w:val="32"/>
          <w:szCs w:val="32"/>
        </w:rPr>
        <w:t>（六）帮助指导青年教师做好试教工作。</w:t>
      </w:r>
    </w:p>
    <w:p>
      <w:pPr>
        <w:spacing w:line="600" w:lineRule="exact"/>
        <w:ind w:firstLine="566" w:firstLineChars="177"/>
        <w:rPr>
          <w:rFonts w:hint="eastAsia" w:ascii="仿宋_GB2312" w:hAnsi="宋体" w:eastAsia="仿宋_GB2312"/>
          <w:sz w:val="32"/>
          <w:szCs w:val="32"/>
        </w:rPr>
      </w:pPr>
      <w:r>
        <w:rPr>
          <w:rFonts w:hint="eastAsia" w:ascii="仿宋_GB2312" w:hAnsi="宋体" w:eastAsia="仿宋_GB2312"/>
          <w:sz w:val="32"/>
          <w:szCs w:val="32"/>
        </w:rPr>
        <w:t>（七）指导并督促青年教师学习教学管理文件，熟悉教学管理规范。</w:t>
      </w:r>
    </w:p>
    <w:p>
      <w:pPr>
        <w:spacing w:line="600" w:lineRule="exact"/>
        <w:ind w:firstLine="566" w:firstLineChars="177"/>
        <w:rPr>
          <w:rFonts w:hint="eastAsia" w:ascii="仿宋_GB2312" w:hAnsi="宋体" w:eastAsia="仿宋_GB2312"/>
          <w:sz w:val="32"/>
          <w:szCs w:val="32"/>
        </w:rPr>
      </w:pPr>
      <w:r>
        <w:rPr>
          <w:rFonts w:hint="eastAsia" w:ascii="仿宋_GB2312" w:hAnsi="宋体" w:eastAsia="仿宋_GB2312"/>
          <w:sz w:val="32"/>
          <w:szCs w:val="32"/>
        </w:rPr>
        <w:t>（八）关心青年教师的思想，注重师德培养。</w:t>
      </w:r>
    </w:p>
    <w:p>
      <w:pPr>
        <w:spacing w:line="600" w:lineRule="exact"/>
        <w:ind w:firstLine="566" w:firstLineChars="177"/>
        <w:rPr>
          <w:rFonts w:hint="eastAsia" w:ascii="仿宋_GB2312" w:hAnsi="宋体" w:eastAsia="仿宋_GB2312"/>
          <w:sz w:val="32"/>
          <w:szCs w:val="32"/>
        </w:rPr>
      </w:pPr>
      <w:r>
        <w:rPr>
          <w:rFonts w:hint="eastAsia" w:ascii="仿宋_GB2312" w:hAnsi="宋体" w:eastAsia="仿宋_GB2312"/>
          <w:sz w:val="32"/>
          <w:szCs w:val="32"/>
        </w:rPr>
        <w:t>（九）督促所指导的青年教师完成学院、系安排的应由其完成的其他工作。</w:t>
      </w:r>
    </w:p>
    <w:p>
      <w:pPr>
        <w:spacing w:line="600" w:lineRule="exact"/>
        <w:ind w:firstLine="643" w:firstLineChars="200"/>
        <w:rPr>
          <w:rFonts w:hint="eastAsia" w:ascii="仿宋_GB2312" w:eastAsia="仿宋_GB2312"/>
          <w:sz w:val="32"/>
          <w:szCs w:val="32"/>
        </w:rPr>
      </w:pPr>
      <w:r>
        <w:rPr>
          <w:rFonts w:hint="eastAsia" w:ascii="仿宋_GB2312" w:hAnsi="宋体" w:eastAsia="仿宋_GB2312"/>
          <w:b/>
          <w:sz w:val="32"/>
          <w:szCs w:val="32"/>
        </w:rPr>
        <w:t>第六条</w:t>
      </w:r>
      <w:r>
        <w:rPr>
          <w:rFonts w:hint="eastAsia" w:ascii="仿宋_GB2312" w:eastAsia="仿宋_GB2312"/>
          <w:sz w:val="32"/>
          <w:szCs w:val="32"/>
        </w:rPr>
        <w:t xml:space="preserve"> </w:t>
      </w:r>
      <w:r>
        <w:rPr>
          <w:rFonts w:hint="eastAsia" w:ascii="仿宋_GB2312" w:hAnsi="宋体" w:eastAsia="仿宋_GB2312"/>
          <w:sz w:val="32"/>
          <w:szCs w:val="32"/>
        </w:rPr>
        <w:t>指导教师在完成上述指导工作的前提下，学院为指导教师记入一定的教学工作量，并在年终考核和津贴中予以体现。</w:t>
      </w:r>
    </w:p>
    <w:p>
      <w:pPr>
        <w:spacing w:line="600" w:lineRule="exact"/>
        <w:ind w:firstLine="643" w:firstLineChars="200"/>
        <w:rPr>
          <w:rFonts w:hint="eastAsia" w:ascii="仿宋_GB2312" w:eastAsia="仿宋_GB2312"/>
          <w:sz w:val="32"/>
          <w:szCs w:val="32"/>
        </w:rPr>
      </w:pPr>
      <w:r>
        <w:rPr>
          <w:rFonts w:hint="eastAsia" w:ascii="仿宋_GB2312" w:hAnsi="宋体" w:eastAsia="仿宋_GB2312"/>
          <w:b/>
          <w:sz w:val="32"/>
          <w:szCs w:val="32"/>
        </w:rPr>
        <w:t>第七条</w:t>
      </w:r>
      <w:r>
        <w:rPr>
          <w:rFonts w:hint="eastAsia" w:ascii="仿宋_GB2312" w:eastAsia="仿宋_GB2312"/>
          <w:sz w:val="32"/>
          <w:szCs w:val="32"/>
        </w:rPr>
        <w:t xml:space="preserve"> </w:t>
      </w:r>
      <w:r>
        <w:rPr>
          <w:rFonts w:hint="eastAsia" w:ascii="仿宋_GB2312" w:hAnsi="宋体" w:eastAsia="仿宋_GB2312"/>
          <w:sz w:val="32"/>
          <w:szCs w:val="32"/>
        </w:rPr>
        <w:t>青年教师应服从指导教师的指导，经常主动地向指导教师汇报学习工作情况，原则上要求每月汇报一次。</w:t>
      </w:r>
    </w:p>
    <w:p>
      <w:pPr>
        <w:spacing w:line="600" w:lineRule="exact"/>
        <w:ind w:firstLine="643" w:firstLineChars="200"/>
        <w:rPr>
          <w:rFonts w:hint="eastAsia" w:ascii="仿宋_GB2312" w:eastAsia="仿宋_GB2312"/>
          <w:sz w:val="32"/>
          <w:szCs w:val="32"/>
        </w:rPr>
      </w:pPr>
      <w:r>
        <w:rPr>
          <w:rFonts w:hint="eastAsia" w:ascii="仿宋_GB2312" w:hAnsi="宋体" w:eastAsia="仿宋_GB2312"/>
          <w:b/>
          <w:sz w:val="32"/>
          <w:szCs w:val="32"/>
        </w:rPr>
        <w:t>第八条</w:t>
      </w:r>
      <w:r>
        <w:rPr>
          <w:rFonts w:hint="eastAsia" w:ascii="仿宋_GB2312" w:eastAsia="仿宋_GB2312"/>
          <w:sz w:val="32"/>
          <w:szCs w:val="32"/>
        </w:rPr>
        <w:t xml:space="preserve"> </w:t>
      </w:r>
      <w:r>
        <w:rPr>
          <w:rFonts w:hint="eastAsia" w:ascii="仿宋_GB2312" w:hAnsi="宋体" w:eastAsia="仿宋_GB2312"/>
          <w:sz w:val="32"/>
          <w:szCs w:val="32"/>
        </w:rPr>
        <w:t>青年教师应积极主动地完成指导教师安排的学习、批改作业、辅导答疑、跟班听课、备课、编写教学文件等工作。青年教师应成为指导教师的教学助手。</w:t>
      </w:r>
    </w:p>
    <w:p>
      <w:pPr>
        <w:spacing w:line="600" w:lineRule="exact"/>
        <w:ind w:firstLine="643" w:firstLineChars="200"/>
        <w:rPr>
          <w:rFonts w:hint="eastAsia" w:ascii="仿宋_GB2312" w:eastAsia="仿宋_GB2312"/>
          <w:sz w:val="32"/>
          <w:szCs w:val="32"/>
        </w:rPr>
      </w:pPr>
      <w:r>
        <w:rPr>
          <w:rFonts w:hint="eastAsia" w:ascii="仿宋_GB2312" w:hAnsi="宋体" w:eastAsia="仿宋_GB2312"/>
          <w:b/>
          <w:sz w:val="32"/>
          <w:szCs w:val="32"/>
        </w:rPr>
        <w:t>第九条</w:t>
      </w:r>
      <w:r>
        <w:rPr>
          <w:rFonts w:hint="eastAsia" w:ascii="仿宋_GB2312" w:eastAsia="仿宋_GB2312"/>
          <w:sz w:val="32"/>
          <w:szCs w:val="32"/>
        </w:rPr>
        <w:t xml:space="preserve"> </w:t>
      </w:r>
      <w:r>
        <w:rPr>
          <w:rFonts w:hint="eastAsia" w:ascii="仿宋_GB2312" w:hAnsi="宋体" w:eastAsia="仿宋_GB2312"/>
          <w:sz w:val="32"/>
          <w:szCs w:val="32"/>
        </w:rPr>
        <w:t>指导教师每学期应为所指导的青年教师填写法学院青年教师鉴定表（指导手册），对青年教师的师德、教学行为及学习状况做出评价。</w:t>
      </w:r>
    </w:p>
    <w:p>
      <w:pPr>
        <w:spacing w:line="600" w:lineRule="exact"/>
        <w:ind w:firstLine="643" w:firstLineChars="200"/>
        <w:rPr>
          <w:rFonts w:hint="eastAsia" w:ascii="仿宋_GB2312" w:eastAsia="仿宋_GB2312"/>
          <w:sz w:val="32"/>
          <w:szCs w:val="32"/>
        </w:rPr>
      </w:pPr>
      <w:r>
        <w:rPr>
          <w:rFonts w:hint="eastAsia" w:ascii="仿宋_GB2312" w:hAnsi="宋体" w:eastAsia="仿宋_GB2312"/>
          <w:b/>
          <w:sz w:val="32"/>
          <w:szCs w:val="32"/>
        </w:rPr>
        <w:t>第十条</w:t>
      </w:r>
      <w:r>
        <w:rPr>
          <w:rFonts w:hint="eastAsia" w:ascii="仿宋_GB2312" w:eastAsia="仿宋_GB2312"/>
          <w:sz w:val="32"/>
          <w:szCs w:val="32"/>
        </w:rPr>
        <w:t xml:space="preserve"> </w:t>
      </w:r>
      <w:r>
        <w:rPr>
          <w:rFonts w:hint="eastAsia" w:ascii="仿宋_GB2312" w:hAnsi="宋体" w:eastAsia="仿宋_GB2312"/>
          <w:sz w:val="32"/>
          <w:szCs w:val="32"/>
        </w:rPr>
        <w:t>指导教师对青年教师的评价是学院对青年教师年终考核的重要依据。</w:t>
      </w:r>
    </w:p>
    <w:p>
      <w:pPr>
        <w:spacing w:line="600" w:lineRule="exact"/>
        <w:ind w:firstLine="643" w:firstLineChars="200"/>
        <w:rPr>
          <w:rFonts w:hint="eastAsia" w:ascii="仿宋_GB2312" w:eastAsia="仿宋_GB2312"/>
          <w:sz w:val="32"/>
          <w:szCs w:val="32"/>
        </w:rPr>
      </w:pPr>
      <w:r>
        <w:rPr>
          <w:rFonts w:hint="eastAsia" w:ascii="仿宋_GB2312" w:hAnsi="宋体" w:eastAsia="仿宋_GB2312"/>
          <w:b/>
          <w:sz w:val="32"/>
          <w:szCs w:val="32"/>
        </w:rPr>
        <w:t>第十一条</w:t>
      </w:r>
      <w:r>
        <w:rPr>
          <w:rFonts w:hint="eastAsia" w:ascii="仿宋_GB2312" w:eastAsia="仿宋_GB2312"/>
          <w:sz w:val="32"/>
          <w:szCs w:val="32"/>
        </w:rPr>
        <w:t xml:space="preserve"> </w:t>
      </w:r>
      <w:r>
        <w:rPr>
          <w:rFonts w:hint="eastAsia" w:ascii="仿宋_GB2312" w:hAnsi="宋体" w:eastAsia="仿宋_GB2312"/>
          <w:sz w:val="32"/>
          <w:szCs w:val="32"/>
        </w:rPr>
        <w:t>未安排课程的青年教师，完成了指导教师安排的各项工作并经学院认定后，可视为完成当年教学工作量。</w:t>
      </w:r>
    </w:p>
    <w:p>
      <w:pPr>
        <w:spacing w:line="600" w:lineRule="exact"/>
        <w:ind w:firstLine="643" w:firstLineChars="200"/>
        <w:rPr>
          <w:rFonts w:hint="eastAsia" w:ascii="仿宋_GB2312" w:eastAsia="仿宋_GB2312"/>
          <w:sz w:val="32"/>
          <w:szCs w:val="32"/>
        </w:rPr>
      </w:pPr>
      <w:r>
        <w:rPr>
          <w:rFonts w:hint="eastAsia" w:ascii="仿宋_GB2312" w:hAnsi="宋体" w:eastAsia="仿宋_GB2312"/>
          <w:b/>
          <w:sz w:val="32"/>
          <w:szCs w:val="32"/>
        </w:rPr>
        <w:t>第十二条</w:t>
      </w:r>
      <w:r>
        <w:rPr>
          <w:rFonts w:hint="eastAsia" w:ascii="仿宋_GB2312" w:eastAsia="仿宋_GB2312"/>
          <w:sz w:val="32"/>
          <w:szCs w:val="32"/>
        </w:rPr>
        <w:t xml:space="preserve"> </w:t>
      </w:r>
      <w:r>
        <w:rPr>
          <w:rFonts w:hint="eastAsia" w:ascii="仿宋_GB2312" w:hAnsi="宋体" w:eastAsia="仿宋_GB2312"/>
          <w:sz w:val="32"/>
          <w:szCs w:val="32"/>
        </w:rPr>
        <w:t>青年教师的培养与指导工作必须在学院党政的统一领导和布署下进行。青年教师的培养工作应与学院师资队伍的整体建设规划相适应。</w:t>
      </w:r>
    </w:p>
    <w:p>
      <w:pPr>
        <w:spacing w:line="600" w:lineRule="exact"/>
        <w:ind w:firstLine="643" w:firstLineChars="200"/>
        <w:rPr>
          <w:rFonts w:hint="eastAsia" w:ascii="仿宋_GB2312" w:eastAsia="仿宋_GB2312"/>
          <w:sz w:val="32"/>
          <w:szCs w:val="32"/>
        </w:rPr>
      </w:pPr>
      <w:r>
        <w:rPr>
          <w:rFonts w:hint="eastAsia" w:ascii="仿宋_GB2312" w:hAnsi="宋体" w:eastAsia="仿宋_GB2312"/>
          <w:b/>
          <w:sz w:val="32"/>
          <w:szCs w:val="32"/>
        </w:rPr>
        <w:t>第十三条</w:t>
      </w:r>
      <w:r>
        <w:rPr>
          <w:rFonts w:hint="eastAsia" w:ascii="仿宋_GB2312" w:eastAsia="仿宋_GB2312"/>
          <w:sz w:val="32"/>
          <w:szCs w:val="32"/>
        </w:rPr>
        <w:t xml:space="preserve"> </w:t>
      </w:r>
      <w:r>
        <w:rPr>
          <w:rFonts w:hint="eastAsia" w:ascii="仿宋_GB2312" w:hAnsi="宋体" w:eastAsia="仿宋_GB2312"/>
          <w:sz w:val="32"/>
          <w:szCs w:val="32"/>
        </w:rPr>
        <w:t>本办法自学院党政联席会议通过之日起施行。</w:t>
      </w:r>
    </w:p>
    <w:p>
      <w:pPr>
        <w:spacing w:line="600" w:lineRule="exact"/>
        <w:ind w:firstLine="643" w:firstLineChars="200"/>
        <w:rPr>
          <w:rFonts w:hint="eastAsia" w:ascii="仿宋_GB2312" w:eastAsia="仿宋_GB2312"/>
          <w:sz w:val="32"/>
          <w:szCs w:val="32"/>
        </w:rPr>
      </w:pPr>
      <w:r>
        <w:rPr>
          <w:rFonts w:hint="eastAsia" w:ascii="仿宋_GB2312" w:hAnsi="宋体" w:eastAsia="仿宋_GB2312"/>
          <w:b/>
          <w:sz w:val="32"/>
          <w:szCs w:val="32"/>
        </w:rPr>
        <w:t>第十四条</w:t>
      </w:r>
      <w:r>
        <w:rPr>
          <w:rFonts w:hint="eastAsia" w:ascii="仿宋_GB2312" w:eastAsia="仿宋_GB2312"/>
          <w:sz w:val="32"/>
          <w:szCs w:val="32"/>
        </w:rPr>
        <w:t xml:space="preserve"> </w:t>
      </w:r>
      <w:r>
        <w:rPr>
          <w:rFonts w:hint="eastAsia" w:ascii="仿宋_GB2312" w:hAnsi="宋体" w:eastAsia="仿宋_GB2312"/>
          <w:sz w:val="32"/>
          <w:szCs w:val="32"/>
        </w:rPr>
        <w:t>本办法由学院教学委员会负责解释。</w:t>
      </w:r>
    </w:p>
    <w:p>
      <w:pPr>
        <w:spacing w:line="600" w:lineRule="exact"/>
        <w:ind w:firstLine="640" w:firstLineChars="200"/>
        <w:rPr>
          <w:rFonts w:hint="eastAsia" w:ascii="仿宋_GB2312" w:eastAsia="仿宋_GB2312"/>
          <w:sz w:val="32"/>
          <w:szCs w:val="32"/>
        </w:rPr>
      </w:pPr>
    </w:p>
    <w:p>
      <w:pPr>
        <w:spacing w:line="600" w:lineRule="exact"/>
        <w:ind w:firstLine="640" w:firstLineChars="200"/>
        <w:rPr>
          <w:rFonts w:hint="eastAsia" w:ascii="仿宋_GB2312" w:eastAsia="仿宋_GB2312"/>
          <w:sz w:val="32"/>
          <w:szCs w:val="32"/>
        </w:rPr>
      </w:pPr>
    </w:p>
    <w:p>
      <w:pPr>
        <w:spacing w:line="600" w:lineRule="exact"/>
        <w:ind w:firstLine="640" w:firstLineChars="200"/>
        <w:rPr>
          <w:rFonts w:hint="eastAsia" w:ascii="仿宋_GB2312" w:eastAsia="仿宋_GB2312"/>
          <w:sz w:val="32"/>
          <w:szCs w:val="32"/>
        </w:rPr>
      </w:pPr>
    </w:p>
    <w:p>
      <w:pPr>
        <w:spacing w:line="600" w:lineRule="exact"/>
        <w:ind w:right="720"/>
        <w:jc w:val="right"/>
        <w:rPr>
          <w:rFonts w:hint="eastAsia" w:ascii="仿宋_GB2312" w:eastAsia="仿宋_GB2312"/>
          <w:sz w:val="32"/>
          <w:szCs w:val="32"/>
        </w:rPr>
      </w:pPr>
      <w:r>
        <w:rPr>
          <w:rFonts w:hint="eastAsia" w:ascii="仿宋_GB2312" w:hAnsi="宋体" w:eastAsia="仿宋_GB2312"/>
          <w:sz w:val="32"/>
          <w:szCs w:val="32"/>
        </w:rPr>
        <w:t>法学院</w:t>
      </w:r>
    </w:p>
    <w:p>
      <w:pPr>
        <w:pStyle w:val="18"/>
        <w:spacing w:before="0" w:beforeAutospacing="0" w:after="0" w:afterAutospacing="0" w:line="600" w:lineRule="exact"/>
        <w:jc w:val="right"/>
        <w:rPr>
          <w:rStyle w:val="22"/>
          <w:rFonts w:hint="eastAsia" w:ascii="仿宋_GB2312" w:hAnsi="Times New Roman" w:eastAsia="仿宋_GB2312" w:cs="Times New Roman"/>
          <w:b w:val="0"/>
          <w:sz w:val="32"/>
          <w:szCs w:val="32"/>
        </w:rPr>
      </w:pPr>
      <w:r>
        <w:rPr>
          <w:rStyle w:val="22"/>
          <w:rFonts w:hint="eastAsia" w:ascii="仿宋_GB2312" w:hAnsi="Times New Roman" w:eastAsia="仿宋_GB2312" w:cs="Times New Roman"/>
          <w:b w:val="0"/>
          <w:sz w:val="32"/>
          <w:szCs w:val="32"/>
        </w:rPr>
        <w:t xml:space="preserve">  </w:t>
      </w:r>
      <w:r>
        <w:rPr>
          <w:rStyle w:val="22"/>
          <w:rFonts w:hint="eastAsia" w:ascii="仿宋_GB2312" w:hAnsi="Verdana" w:eastAsia="仿宋_GB2312" w:cs="Times New Roman"/>
          <w:b w:val="0"/>
          <w:sz w:val="32"/>
          <w:szCs w:val="32"/>
          <w:lang w:eastAsia="zh-CN"/>
        </w:rPr>
        <w:t>二〇二一</w:t>
      </w:r>
      <w:r>
        <w:rPr>
          <w:rStyle w:val="22"/>
          <w:rFonts w:hint="eastAsia" w:ascii="仿宋_GB2312" w:hAnsi="Verdana" w:eastAsia="仿宋_GB2312" w:cs="Times New Roman"/>
          <w:b w:val="0"/>
          <w:sz w:val="32"/>
          <w:szCs w:val="32"/>
        </w:rPr>
        <w:t>年三月十日</w:t>
      </w:r>
    </w:p>
    <w:p>
      <w:pPr>
        <w:pStyle w:val="3"/>
        <w:spacing w:line="600" w:lineRule="exact"/>
        <w:jc w:val="center"/>
        <w:rPr>
          <w:rFonts w:hint="eastAsia" w:ascii="方正小标宋简体" w:eastAsia="方正小标宋简体"/>
          <w:sz w:val="44"/>
          <w:szCs w:val="44"/>
        </w:rPr>
      </w:pPr>
      <w:r>
        <w:rPr>
          <w:rFonts w:hint="eastAsia" w:ascii="仿宋_GB2312" w:hAnsi="Times New Roman" w:eastAsia="仿宋_GB2312" w:cs="Times New Roman"/>
          <w:b w:val="0"/>
        </w:rPr>
        <w:br w:type="page"/>
      </w:r>
      <w:bookmarkStart w:id="68" w:name="_Toc496351248"/>
      <w:bookmarkStart w:id="69" w:name="_Toc496351356"/>
      <w:bookmarkStart w:id="70" w:name="_Toc484180121"/>
      <w:r>
        <w:rPr>
          <w:rFonts w:hint="eastAsia" w:ascii="方正小标宋简体" w:hAnsi="Times New Roman" w:eastAsia="方正小标宋简体" w:cs="Times New Roman"/>
          <w:b w:val="0"/>
          <w:sz w:val="44"/>
          <w:szCs w:val="44"/>
        </w:rPr>
        <w:t>法学院青年教师教学技能大赛实施方案</w:t>
      </w:r>
      <w:bookmarkEnd w:id="68"/>
      <w:bookmarkEnd w:id="69"/>
      <w:bookmarkEnd w:id="70"/>
      <w:r>
        <w:rPr>
          <w:rFonts w:hint="eastAsia" w:ascii="方正小标宋简体" w:eastAsia="方正小标宋简体"/>
          <w:sz w:val="44"/>
          <w:szCs w:val="44"/>
        </w:rPr>
        <w:t xml:space="preserve"> </w:t>
      </w:r>
    </w:p>
    <w:p>
      <w:pPr>
        <w:spacing w:line="600" w:lineRule="exact"/>
        <w:ind w:firstLine="640" w:firstLineChars="200"/>
        <w:rPr>
          <w:rFonts w:hint="eastAsia" w:ascii="仿宋_GB2312" w:hAnsi="宋体" w:eastAsia="仿宋_GB2312"/>
          <w:sz w:val="32"/>
          <w:szCs w:val="32"/>
        </w:rPr>
      </w:pPr>
    </w:p>
    <w:p>
      <w:pPr>
        <w:spacing w:line="600" w:lineRule="exact"/>
        <w:ind w:firstLine="640" w:firstLineChars="200"/>
        <w:rPr>
          <w:rFonts w:hint="eastAsia" w:ascii="仿宋_GB2312" w:eastAsia="仿宋_GB2312"/>
          <w:sz w:val="32"/>
          <w:szCs w:val="32"/>
        </w:rPr>
      </w:pPr>
      <w:r>
        <w:rPr>
          <w:rFonts w:hint="eastAsia" w:ascii="仿宋_GB2312" w:hAnsi="宋体" w:eastAsia="仿宋_GB2312"/>
          <w:sz w:val="32"/>
          <w:szCs w:val="32"/>
        </w:rPr>
        <w:t>为落实《中共西北师范大学委员会关于进一步加强青年教师队伍建设的实施意见》《西北师范大学第六期本科教学改革工程实施方案》和《西北师范大学</w:t>
      </w:r>
      <w:r>
        <w:rPr>
          <w:rFonts w:hint="eastAsia" w:ascii="仿宋_GB2312" w:eastAsia="仿宋_GB2312"/>
          <w:sz w:val="32"/>
          <w:szCs w:val="32"/>
        </w:rPr>
        <w:t>“</w:t>
      </w:r>
      <w:r>
        <w:rPr>
          <w:rFonts w:hint="eastAsia" w:ascii="仿宋_GB2312" w:hAnsi="宋体" w:eastAsia="仿宋_GB2312"/>
          <w:sz w:val="32"/>
          <w:szCs w:val="32"/>
        </w:rPr>
        <w:t>青年教师教学能力提升计划</w:t>
      </w:r>
      <w:r>
        <w:rPr>
          <w:rFonts w:hint="eastAsia" w:ascii="仿宋_GB2312" w:eastAsia="仿宋_GB2312"/>
          <w:sz w:val="32"/>
          <w:szCs w:val="32"/>
        </w:rPr>
        <w:t>”</w:t>
      </w:r>
      <w:r>
        <w:rPr>
          <w:rFonts w:hint="eastAsia" w:ascii="仿宋_GB2312" w:hAnsi="宋体" w:eastAsia="仿宋_GB2312"/>
          <w:sz w:val="32"/>
          <w:szCs w:val="32"/>
        </w:rPr>
        <w:t>实施方案》，进一步弘扬优秀的教学传统和文化</w:t>
      </w:r>
      <w:r>
        <w:rPr>
          <w:rFonts w:hint="eastAsia" w:ascii="仿宋_GB2312" w:eastAsia="仿宋_GB2312"/>
          <w:sz w:val="32"/>
          <w:szCs w:val="32"/>
        </w:rPr>
        <w:t>,</w:t>
      </w:r>
      <w:r>
        <w:rPr>
          <w:rFonts w:hint="eastAsia" w:ascii="仿宋_GB2312" w:hAnsi="宋体" w:eastAsia="仿宋_GB2312"/>
          <w:sz w:val="32"/>
          <w:szCs w:val="32"/>
        </w:rPr>
        <w:t>提升青年教师教学能力，努力打造一流的教师队伍，学院依托学校平台，举办</w:t>
      </w:r>
      <w:r>
        <w:rPr>
          <w:rFonts w:hint="eastAsia" w:ascii="仿宋_GB2312" w:eastAsia="仿宋_GB2312"/>
          <w:sz w:val="32"/>
          <w:szCs w:val="32"/>
        </w:rPr>
        <w:t>“</w:t>
      </w:r>
      <w:r>
        <w:rPr>
          <w:rFonts w:hint="eastAsia" w:ascii="仿宋_GB2312" w:hAnsi="宋体" w:eastAsia="仿宋_GB2312"/>
          <w:sz w:val="32"/>
          <w:szCs w:val="32"/>
        </w:rPr>
        <w:t>青年教师教学技能大赛</w:t>
      </w:r>
      <w:r>
        <w:rPr>
          <w:rFonts w:hint="eastAsia" w:ascii="仿宋_GB2312" w:eastAsia="仿宋_GB2312"/>
          <w:sz w:val="32"/>
          <w:szCs w:val="32"/>
        </w:rPr>
        <w:t>”</w:t>
      </w:r>
      <w:r>
        <w:rPr>
          <w:rFonts w:hint="eastAsia" w:ascii="仿宋_GB2312" w:hAnsi="宋体" w:eastAsia="仿宋_GB2312"/>
          <w:sz w:val="32"/>
          <w:szCs w:val="32"/>
        </w:rPr>
        <w:t>。</w:t>
      </w:r>
      <w:r>
        <w:rPr>
          <w:rFonts w:hint="eastAsia" w:ascii="仿宋_GB2312" w:eastAsia="仿宋_GB2312"/>
          <w:sz w:val="32"/>
          <w:szCs w:val="32"/>
        </w:rPr>
        <w:t xml:space="preserve"> </w:t>
      </w:r>
    </w:p>
    <w:p>
      <w:pPr>
        <w:pStyle w:val="4"/>
        <w:spacing w:before="0" w:after="0" w:line="415" w:lineRule="auto"/>
        <w:ind w:firstLine="640" w:firstLineChars="200"/>
        <w:rPr>
          <w:rFonts w:hint="eastAsia" w:ascii="黑体" w:eastAsia="黑体"/>
          <w:b w:val="0"/>
        </w:rPr>
      </w:pPr>
      <w:bookmarkStart w:id="71" w:name="_Toc496351357"/>
      <w:bookmarkStart w:id="72" w:name="_Toc496351249"/>
      <w:r>
        <w:rPr>
          <w:rFonts w:hint="eastAsia" w:ascii="黑体" w:eastAsia="黑体"/>
          <w:b w:val="0"/>
        </w:rPr>
        <w:t>一、大赛宗旨及指导思想</w:t>
      </w:r>
      <w:bookmarkEnd w:id="71"/>
      <w:bookmarkEnd w:id="72"/>
    </w:p>
    <w:p>
      <w:pPr>
        <w:spacing w:line="600" w:lineRule="exact"/>
        <w:rPr>
          <w:rFonts w:hint="eastAsia" w:ascii="仿宋_GB2312" w:eastAsia="仿宋_GB2312"/>
          <w:sz w:val="32"/>
          <w:szCs w:val="32"/>
        </w:rPr>
      </w:pPr>
      <w:r>
        <w:rPr>
          <w:rFonts w:hint="eastAsia" w:ascii="仿宋_GB2312" w:eastAsia="仿宋_GB2312"/>
          <w:sz w:val="32"/>
          <w:szCs w:val="32"/>
        </w:rPr>
        <w:t xml:space="preserve">    </w:t>
      </w:r>
      <w:r>
        <w:rPr>
          <w:rFonts w:hint="eastAsia" w:ascii="仿宋_GB2312" w:hAnsi="宋体" w:eastAsia="仿宋_GB2312"/>
          <w:sz w:val="32"/>
          <w:szCs w:val="32"/>
        </w:rPr>
        <w:t>坚持立德树人的根本任务，贯彻落实</w:t>
      </w:r>
      <w:r>
        <w:rPr>
          <w:rFonts w:hint="eastAsia" w:ascii="仿宋_GB2312" w:eastAsia="仿宋_GB2312"/>
          <w:sz w:val="32"/>
          <w:szCs w:val="32"/>
        </w:rPr>
        <w:t>“</w:t>
      </w:r>
      <w:r>
        <w:rPr>
          <w:rFonts w:hint="eastAsia" w:ascii="仿宋_GB2312" w:hAnsi="宋体" w:eastAsia="仿宋_GB2312"/>
          <w:sz w:val="32"/>
          <w:szCs w:val="32"/>
        </w:rPr>
        <w:t>围绕学生成长这个中心，依靠教师发展这个根本，突出教学重心</w:t>
      </w:r>
      <w:r>
        <w:rPr>
          <w:rFonts w:hint="eastAsia" w:ascii="仿宋_GB2312" w:eastAsia="仿宋_GB2312"/>
          <w:sz w:val="32"/>
          <w:szCs w:val="32"/>
        </w:rPr>
        <w:t>”</w:t>
      </w:r>
      <w:r>
        <w:rPr>
          <w:rFonts w:hint="eastAsia" w:ascii="仿宋_GB2312" w:hAnsi="宋体" w:eastAsia="仿宋_GB2312"/>
          <w:sz w:val="32"/>
          <w:szCs w:val="32"/>
        </w:rPr>
        <w:t>的办学思路，顺应信息化时代的要求，以加强青年教师教学基本功和能力训练为着力点，充分发挥教学比赛在提高教师队伍素质中的引领示范作用，更新广大青年教师教育理念，提升教育教学水平</w:t>
      </w:r>
      <w:r>
        <w:rPr>
          <w:rFonts w:hint="eastAsia" w:ascii="仿宋_GB2312" w:eastAsia="仿宋_GB2312"/>
          <w:sz w:val="32"/>
          <w:szCs w:val="32"/>
        </w:rPr>
        <w:t>,</w:t>
      </w:r>
      <w:r>
        <w:rPr>
          <w:rFonts w:hint="eastAsia" w:ascii="仿宋_GB2312" w:hAnsi="宋体" w:eastAsia="仿宋_GB2312"/>
          <w:sz w:val="32"/>
          <w:szCs w:val="32"/>
        </w:rPr>
        <w:t>努力造就一支有理想信念、有道德情操、有扎实学识、有仁爱之心的高素质、专业化的教师队伍。</w:t>
      </w:r>
      <w:r>
        <w:rPr>
          <w:rFonts w:hint="eastAsia" w:ascii="仿宋_GB2312" w:eastAsia="仿宋_GB2312"/>
          <w:sz w:val="32"/>
          <w:szCs w:val="32"/>
        </w:rPr>
        <w:t xml:space="preserve"> </w:t>
      </w:r>
    </w:p>
    <w:p>
      <w:pPr>
        <w:pStyle w:val="4"/>
        <w:spacing w:before="0" w:after="0" w:line="415" w:lineRule="auto"/>
        <w:ind w:firstLine="640" w:firstLineChars="200"/>
        <w:rPr>
          <w:rFonts w:hint="eastAsia" w:ascii="黑体" w:eastAsia="黑体"/>
          <w:b w:val="0"/>
        </w:rPr>
      </w:pPr>
      <w:bookmarkStart w:id="73" w:name="_Toc496351358"/>
      <w:bookmarkStart w:id="74" w:name="_Toc496351250"/>
      <w:r>
        <w:rPr>
          <w:rFonts w:hint="eastAsia" w:ascii="黑体" w:eastAsia="黑体"/>
          <w:b w:val="0"/>
        </w:rPr>
        <w:t>二、大赛参赛对象</w:t>
      </w:r>
      <w:bookmarkEnd w:id="73"/>
      <w:bookmarkEnd w:id="74"/>
    </w:p>
    <w:p>
      <w:pPr>
        <w:spacing w:line="600" w:lineRule="exact"/>
        <w:ind w:firstLine="425" w:firstLineChars="133"/>
        <w:rPr>
          <w:rFonts w:hint="eastAsia" w:ascii="仿宋_GB2312" w:eastAsia="仿宋_GB2312"/>
          <w:sz w:val="32"/>
          <w:szCs w:val="32"/>
        </w:rPr>
      </w:pPr>
      <w:r>
        <w:rPr>
          <w:rFonts w:hint="eastAsia" w:ascii="仿宋_GB2312" w:hAnsi="宋体" w:eastAsia="仿宋_GB2312"/>
          <w:sz w:val="32"/>
          <w:szCs w:val="32"/>
        </w:rPr>
        <w:t>（一）承担全日制本科学生教学任务、</w:t>
      </w:r>
      <w:r>
        <w:rPr>
          <w:rFonts w:hint="eastAsia" w:ascii="仿宋_GB2312" w:eastAsia="仿宋_GB2312"/>
          <w:sz w:val="32"/>
          <w:szCs w:val="32"/>
        </w:rPr>
        <w:t>40周岁以下的</w:t>
      </w:r>
      <w:r>
        <w:rPr>
          <w:rFonts w:hint="eastAsia" w:ascii="仿宋_GB2312" w:hAnsi="宋体" w:eastAsia="仿宋_GB2312"/>
          <w:sz w:val="32"/>
          <w:szCs w:val="32"/>
        </w:rPr>
        <w:t>在编青年教师（鼓励</w:t>
      </w:r>
      <w:r>
        <w:rPr>
          <w:rFonts w:hint="eastAsia" w:ascii="仿宋_GB2312" w:eastAsia="仿宋_GB2312"/>
          <w:sz w:val="32"/>
          <w:szCs w:val="32"/>
        </w:rPr>
        <w:t>40—45</w:t>
      </w:r>
      <w:r>
        <w:rPr>
          <w:rFonts w:hint="eastAsia" w:ascii="仿宋_GB2312" w:hAnsi="宋体" w:eastAsia="仿宋_GB2312"/>
          <w:sz w:val="32"/>
          <w:szCs w:val="32"/>
        </w:rPr>
        <w:t>周岁的在编教师参加比赛）。</w:t>
      </w:r>
      <w:r>
        <w:rPr>
          <w:rFonts w:hint="eastAsia" w:ascii="仿宋_GB2312" w:eastAsia="仿宋_GB2312"/>
          <w:sz w:val="32"/>
          <w:szCs w:val="32"/>
        </w:rPr>
        <w:t xml:space="preserve"> </w:t>
      </w:r>
    </w:p>
    <w:p>
      <w:pPr>
        <w:spacing w:line="600" w:lineRule="exact"/>
        <w:ind w:firstLine="425" w:firstLineChars="133"/>
        <w:rPr>
          <w:rFonts w:hint="eastAsia" w:ascii="仿宋_GB2312" w:hAnsi="宋体" w:eastAsia="仿宋_GB2312"/>
          <w:sz w:val="32"/>
          <w:szCs w:val="32"/>
        </w:rPr>
      </w:pPr>
      <w:r>
        <w:rPr>
          <w:rFonts w:hint="eastAsia" w:ascii="仿宋_GB2312" w:hAnsi="宋体" w:eastAsia="仿宋_GB2312"/>
          <w:sz w:val="32"/>
          <w:szCs w:val="32"/>
        </w:rPr>
        <w:t>（二）除读博、进修人员外，确有特殊原因无法参赛者，须向学院请假。</w:t>
      </w:r>
    </w:p>
    <w:p>
      <w:pPr>
        <w:pStyle w:val="4"/>
        <w:spacing w:before="0" w:after="0" w:line="415" w:lineRule="auto"/>
        <w:ind w:firstLine="640" w:firstLineChars="200"/>
        <w:rPr>
          <w:rFonts w:hint="eastAsia" w:ascii="黑体" w:eastAsia="黑体"/>
          <w:b w:val="0"/>
        </w:rPr>
      </w:pPr>
      <w:bookmarkStart w:id="75" w:name="_Toc496351251"/>
      <w:bookmarkStart w:id="76" w:name="_Toc496351359"/>
      <w:r>
        <w:rPr>
          <w:rFonts w:hint="eastAsia" w:ascii="黑体" w:eastAsia="黑体"/>
          <w:b w:val="0"/>
        </w:rPr>
        <w:t>三、大赛内容及要求</w:t>
      </w:r>
      <w:bookmarkEnd w:id="75"/>
      <w:bookmarkEnd w:id="76"/>
    </w:p>
    <w:p>
      <w:pPr>
        <w:spacing w:line="600" w:lineRule="exact"/>
        <w:ind w:firstLine="425" w:firstLineChars="133"/>
        <w:rPr>
          <w:rFonts w:hint="eastAsia" w:ascii="楷体_GB2312" w:eastAsia="楷体_GB2312"/>
          <w:sz w:val="32"/>
          <w:szCs w:val="32"/>
        </w:rPr>
      </w:pPr>
      <w:r>
        <w:rPr>
          <w:rFonts w:hint="eastAsia" w:ascii="楷体_GB2312" w:hAnsi="宋体" w:eastAsia="楷体_GB2312"/>
          <w:sz w:val="32"/>
          <w:szCs w:val="32"/>
        </w:rPr>
        <w:t>（一）说课及教学文档</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1</w:t>
      </w:r>
      <w:r>
        <w:rPr>
          <w:rFonts w:hint="eastAsia" w:ascii="仿宋_GB2312" w:hAnsi="宋体" w:eastAsia="仿宋_GB2312"/>
          <w:sz w:val="32"/>
          <w:szCs w:val="32"/>
        </w:rPr>
        <w:t>、对教学工作的理解及个人教学工作情况介绍。</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2、系统而概括地解说对所授课程的理解，对所授课程的教学设想、方法、策略以及学习课程学生的学习情况、组织教学的理论依据等进行阐述。</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3、所授课程教学文档，包括完整的教案或讲稿（格式不限）、教学大纲、教学进度表、教学日志及学生考勤登记表等。</w:t>
      </w:r>
    </w:p>
    <w:p>
      <w:pPr>
        <w:spacing w:line="600" w:lineRule="exact"/>
        <w:ind w:firstLine="425" w:firstLineChars="133"/>
        <w:rPr>
          <w:rFonts w:hint="eastAsia" w:ascii="楷体_GB2312" w:hAnsi="宋体" w:eastAsia="楷体_GB2312"/>
          <w:sz w:val="32"/>
          <w:szCs w:val="32"/>
        </w:rPr>
      </w:pPr>
      <w:r>
        <w:rPr>
          <w:rFonts w:hint="eastAsia" w:ascii="楷体_GB2312" w:hAnsi="宋体" w:eastAsia="楷体_GB2312"/>
          <w:sz w:val="32"/>
          <w:szCs w:val="32"/>
        </w:rPr>
        <w:t>（二）教学演示</w:t>
      </w:r>
    </w:p>
    <w:p>
      <w:pPr>
        <w:spacing w:line="600" w:lineRule="exact"/>
        <w:ind w:firstLine="640" w:firstLineChars="200"/>
        <w:rPr>
          <w:rFonts w:hint="eastAsia" w:ascii="仿宋_GB2312" w:eastAsia="仿宋_GB2312"/>
          <w:sz w:val="32"/>
          <w:szCs w:val="32"/>
        </w:rPr>
      </w:pPr>
      <w:r>
        <w:rPr>
          <w:rFonts w:hint="eastAsia" w:ascii="仿宋_GB2312" w:hAnsi="宋体" w:eastAsia="仿宋_GB2312"/>
          <w:sz w:val="32"/>
          <w:szCs w:val="32"/>
        </w:rPr>
        <w:t>教学演示方式不限，可以是传统教学或者多媒体教学，也可以是传统教学与多媒体教学相结合方式。演示主要内容是：</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1</w:t>
      </w:r>
      <w:r>
        <w:rPr>
          <w:rFonts w:hint="eastAsia" w:ascii="仿宋_GB2312" w:hAnsi="宋体" w:eastAsia="仿宋_GB2312"/>
          <w:sz w:val="32"/>
          <w:szCs w:val="32"/>
        </w:rPr>
        <w:t>、教学内容</w:t>
      </w:r>
    </w:p>
    <w:p>
      <w:pPr>
        <w:spacing w:line="600" w:lineRule="exact"/>
        <w:ind w:firstLine="480" w:firstLineChars="150"/>
        <w:rPr>
          <w:rFonts w:hint="eastAsia" w:ascii="仿宋_GB2312" w:eastAsia="仿宋_GB2312"/>
          <w:sz w:val="32"/>
          <w:szCs w:val="32"/>
        </w:rPr>
      </w:pPr>
      <w:r>
        <w:rPr>
          <w:rFonts w:hint="eastAsia" w:ascii="仿宋_GB2312" w:hAnsi="宋体" w:eastAsia="仿宋_GB2312"/>
          <w:sz w:val="32"/>
          <w:szCs w:val="32"/>
        </w:rPr>
        <w:t>（</w:t>
      </w:r>
      <w:r>
        <w:rPr>
          <w:rFonts w:hint="eastAsia" w:ascii="仿宋_GB2312" w:eastAsia="仿宋_GB2312"/>
          <w:sz w:val="32"/>
          <w:szCs w:val="32"/>
        </w:rPr>
        <w:t>1</w:t>
      </w:r>
      <w:r>
        <w:rPr>
          <w:rFonts w:hint="eastAsia" w:ascii="仿宋_GB2312" w:hAnsi="宋体" w:eastAsia="仿宋_GB2312"/>
          <w:sz w:val="32"/>
          <w:szCs w:val="32"/>
        </w:rPr>
        <w:t>）理论联系实际，符合学生的特点；</w:t>
      </w:r>
    </w:p>
    <w:p>
      <w:pPr>
        <w:spacing w:line="600" w:lineRule="exact"/>
        <w:ind w:firstLine="480" w:firstLineChars="150"/>
        <w:rPr>
          <w:rFonts w:hint="eastAsia" w:ascii="仿宋_GB2312" w:eastAsia="仿宋_GB2312"/>
          <w:sz w:val="32"/>
          <w:szCs w:val="32"/>
        </w:rPr>
      </w:pPr>
      <w:r>
        <w:rPr>
          <w:rFonts w:hint="eastAsia" w:ascii="仿宋_GB2312" w:hAnsi="宋体" w:eastAsia="仿宋_GB2312"/>
          <w:sz w:val="32"/>
          <w:szCs w:val="32"/>
        </w:rPr>
        <w:t>（</w:t>
      </w:r>
      <w:r>
        <w:rPr>
          <w:rFonts w:hint="eastAsia" w:ascii="仿宋_GB2312" w:eastAsia="仿宋_GB2312"/>
          <w:sz w:val="32"/>
          <w:szCs w:val="32"/>
        </w:rPr>
        <w:t>2</w:t>
      </w:r>
      <w:r>
        <w:rPr>
          <w:rFonts w:hint="eastAsia" w:ascii="仿宋_GB2312" w:hAnsi="宋体" w:eastAsia="仿宋_GB2312"/>
          <w:sz w:val="32"/>
          <w:szCs w:val="32"/>
        </w:rPr>
        <w:t>）注重学术性，渗透专业思想，为教学目标服务；</w:t>
      </w:r>
    </w:p>
    <w:p>
      <w:pPr>
        <w:spacing w:line="600" w:lineRule="exact"/>
        <w:ind w:firstLine="480" w:firstLineChars="150"/>
        <w:rPr>
          <w:rFonts w:hint="eastAsia" w:ascii="仿宋_GB2312" w:eastAsia="仿宋_GB2312"/>
          <w:sz w:val="32"/>
          <w:szCs w:val="32"/>
        </w:rPr>
      </w:pPr>
      <w:r>
        <w:rPr>
          <w:rFonts w:hint="eastAsia" w:ascii="仿宋_GB2312" w:hAnsi="宋体" w:eastAsia="仿宋_GB2312"/>
          <w:sz w:val="32"/>
          <w:szCs w:val="32"/>
        </w:rPr>
        <w:t>（</w:t>
      </w:r>
      <w:r>
        <w:rPr>
          <w:rFonts w:hint="eastAsia" w:ascii="仿宋_GB2312" w:eastAsia="仿宋_GB2312"/>
          <w:sz w:val="32"/>
          <w:szCs w:val="32"/>
        </w:rPr>
        <w:t>3</w:t>
      </w:r>
      <w:r>
        <w:rPr>
          <w:rFonts w:hint="eastAsia" w:ascii="仿宋_GB2312" w:hAnsi="宋体" w:eastAsia="仿宋_GB2312"/>
          <w:sz w:val="32"/>
          <w:szCs w:val="32"/>
        </w:rPr>
        <w:t>）重点突出，条理清楚，内容承前启后，循序渐进。</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2、教学组织</w:t>
      </w:r>
    </w:p>
    <w:p>
      <w:pPr>
        <w:spacing w:line="600" w:lineRule="exact"/>
        <w:ind w:firstLine="480" w:firstLineChars="150"/>
        <w:rPr>
          <w:rFonts w:hint="eastAsia" w:ascii="仿宋_GB2312" w:eastAsia="仿宋_GB2312"/>
          <w:sz w:val="32"/>
          <w:szCs w:val="32"/>
        </w:rPr>
      </w:pPr>
      <w:r>
        <w:rPr>
          <w:rFonts w:hint="eastAsia" w:ascii="仿宋_GB2312" w:hAnsi="宋体" w:eastAsia="仿宋_GB2312"/>
          <w:sz w:val="32"/>
          <w:szCs w:val="32"/>
        </w:rPr>
        <w:t>（</w:t>
      </w:r>
      <w:r>
        <w:rPr>
          <w:rFonts w:hint="eastAsia" w:ascii="仿宋_GB2312" w:eastAsia="仿宋_GB2312"/>
          <w:sz w:val="32"/>
          <w:szCs w:val="32"/>
        </w:rPr>
        <w:t>1</w:t>
      </w:r>
      <w:r>
        <w:rPr>
          <w:rFonts w:hint="eastAsia" w:ascii="仿宋_GB2312" w:hAnsi="宋体" w:eastAsia="仿宋_GB2312"/>
          <w:sz w:val="32"/>
          <w:szCs w:val="32"/>
        </w:rPr>
        <w:t>）教学过程安排合理，方法运用灵活、恰当；</w:t>
      </w:r>
    </w:p>
    <w:p>
      <w:pPr>
        <w:spacing w:line="600" w:lineRule="exact"/>
        <w:ind w:firstLine="480" w:firstLineChars="150"/>
        <w:rPr>
          <w:rFonts w:hint="eastAsia" w:ascii="仿宋_GB2312" w:eastAsia="仿宋_GB2312"/>
          <w:sz w:val="32"/>
          <w:szCs w:val="32"/>
        </w:rPr>
      </w:pPr>
      <w:r>
        <w:rPr>
          <w:rFonts w:hint="eastAsia" w:ascii="仿宋_GB2312" w:hAnsi="宋体" w:eastAsia="仿宋_GB2312"/>
          <w:sz w:val="32"/>
          <w:szCs w:val="32"/>
        </w:rPr>
        <w:t>（</w:t>
      </w:r>
      <w:r>
        <w:rPr>
          <w:rFonts w:hint="eastAsia" w:ascii="仿宋_GB2312" w:eastAsia="仿宋_GB2312"/>
          <w:sz w:val="32"/>
          <w:szCs w:val="32"/>
        </w:rPr>
        <w:t>2</w:t>
      </w:r>
      <w:r>
        <w:rPr>
          <w:rFonts w:hint="eastAsia" w:ascii="仿宋_GB2312" w:hAnsi="宋体" w:eastAsia="仿宋_GB2312"/>
          <w:sz w:val="32"/>
          <w:szCs w:val="32"/>
        </w:rPr>
        <w:t>）启发性强，能有效地调动学生思维、学生积极性；</w:t>
      </w:r>
    </w:p>
    <w:p>
      <w:pPr>
        <w:spacing w:line="600" w:lineRule="exact"/>
        <w:ind w:firstLine="480" w:firstLineChars="150"/>
        <w:rPr>
          <w:rFonts w:hint="eastAsia" w:ascii="仿宋_GB2312" w:eastAsia="仿宋_GB2312"/>
          <w:sz w:val="32"/>
          <w:szCs w:val="32"/>
        </w:rPr>
      </w:pPr>
      <w:r>
        <w:rPr>
          <w:rFonts w:hint="eastAsia" w:ascii="仿宋_GB2312" w:hAnsi="宋体" w:eastAsia="仿宋_GB2312"/>
          <w:sz w:val="32"/>
          <w:szCs w:val="32"/>
        </w:rPr>
        <w:t>（</w:t>
      </w:r>
      <w:r>
        <w:rPr>
          <w:rFonts w:hint="eastAsia" w:ascii="仿宋_GB2312" w:eastAsia="仿宋_GB2312"/>
          <w:sz w:val="32"/>
          <w:szCs w:val="32"/>
        </w:rPr>
        <w:t>3</w:t>
      </w:r>
      <w:r>
        <w:rPr>
          <w:rFonts w:hint="eastAsia" w:ascii="仿宋_GB2312" w:hAnsi="宋体" w:eastAsia="仿宋_GB2312"/>
          <w:sz w:val="32"/>
          <w:szCs w:val="32"/>
        </w:rPr>
        <w:t>）熟练、恰当地运用多媒体教学手段，有效提高教学质量。</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3、教学语言与教态</w:t>
      </w:r>
    </w:p>
    <w:p>
      <w:pPr>
        <w:spacing w:line="600" w:lineRule="exact"/>
        <w:ind w:firstLine="480" w:firstLineChars="150"/>
        <w:rPr>
          <w:rFonts w:hint="eastAsia" w:ascii="仿宋_GB2312" w:eastAsia="仿宋_GB2312"/>
          <w:sz w:val="32"/>
          <w:szCs w:val="32"/>
        </w:rPr>
      </w:pPr>
      <w:r>
        <w:rPr>
          <w:rFonts w:hint="eastAsia" w:ascii="仿宋_GB2312" w:hAnsi="宋体" w:eastAsia="仿宋_GB2312"/>
          <w:sz w:val="32"/>
          <w:szCs w:val="32"/>
        </w:rPr>
        <w:t>（</w:t>
      </w:r>
      <w:r>
        <w:rPr>
          <w:rFonts w:hint="eastAsia" w:ascii="仿宋_GB2312" w:eastAsia="仿宋_GB2312"/>
          <w:sz w:val="32"/>
          <w:szCs w:val="32"/>
        </w:rPr>
        <w:t>1</w:t>
      </w:r>
      <w:r>
        <w:rPr>
          <w:rFonts w:hint="eastAsia" w:ascii="仿宋_GB2312" w:hAnsi="宋体" w:eastAsia="仿宋_GB2312"/>
          <w:sz w:val="32"/>
          <w:szCs w:val="32"/>
        </w:rPr>
        <w:t>）普通话讲课，语言清晰、准确、生动；</w:t>
      </w:r>
    </w:p>
    <w:p>
      <w:pPr>
        <w:spacing w:line="600" w:lineRule="exact"/>
        <w:ind w:firstLine="480" w:firstLineChars="150"/>
        <w:rPr>
          <w:rFonts w:hint="eastAsia" w:ascii="仿宋_GB2312" w:eastAsia="仿宋_GB2312"/>
          <w:sz w:val="32"/>
          <w:szCs w:val="32"/>
        </w:rPr>
      </w:pPr>
      <w:r>
        <w:rPr>
          <w:rFonts w:hint="eastAsia" w:ascii="仿宋_GB2312" w:hAnsi="宋体" w:eastAsia="仿宋_GB2312"/>
          <w:sz w:val="32"/>
          <w:szCs w:val="32"/>
        </w:rPr>
        <w:t>（</w:t>
      </w:r>
      <w:r>
        <w:rPr>
          <w:rFonts w:hint="eastAsia" w:ascii="仿宋_GB2312" w:eastAsia="仿宋_GB2312"/>
          <w:sz w:val="32"/>
          <w:szCs w:val="32"/>
        </w:rPr>
        <w:t>2</w:t>
      </w:r>
      <w:r>
        <w:rPr>
          <w:rFonts w:hint="eastAsia" w:ascii="仿宋_GB2312" w:hAnsi="宋体" w:eastAsia="仿宋_GB2312"/>
          <w:sz w:val="32"/>
          <w:szCs w:val="32"/>
        </w:rPr>
        <w:t>）善于运用手势，表情、教态自然大方；</w:t>
      </w:r>
    </w:p>
    <w:p>
      <w:pPr>
        <w:spacing w:line="600" w:lineRule="exact"/>
        <w:ind w:firstLine="480" w:firstLineChars="150"/>
        <w:rPr>
          <w:rFonts w:hint="eastAsia" w:ascii="仿宋_GB2312" w:eastAsia="仿宋_GB2312"/>
          <w:sz w:val="32"/>
          <w:szCs w:val="32"/>
        </w:rPr>
      </w:pPr>
      <w:r>
        <w:rPr>
          <w:rFonts w:hint="eastAsia" w:ascii="仿宋_GB2312" w:hAnsi="宋体" w:eastAsia="仿宋_GB2312"/>
          <w:sz w:val="32"/>
          <w:szCs w:val="32"/>
        </w:rPr>
        <w:t>（</w:t>
      </w:r>
      <w:r>
        <w:rPr>
          <w:rFonts w:hint="eastAsia" w:ascii="仿宋_GB2312" w:eastAsia="仿宋_GB2312"/>
          <w:sz w:val="32"/>
          <w:szCs w:val="32"/>
        </w:rPr>
        <w:t>3</w:t>
      </w:r>
      <w:r>
        <w:rPr>
          <w:rFonts w:hint="eastAsia" w:ascii="仿宋_GB2312" w:hAnsi="宋体" w:eastAsia="仿宋_GB2312"/>
          <w:sz w:val="32"/>
          <w:szCs w:val="32"/>
        </w:rPr>
        <w:t>）着装整洁得体，精神饱满，亲和力强。</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4</w:t>
      </w:r>
      <w:r>
        <w:rPr>
          <w:rFonts w:hint="eastAsia" w:ascii="仿宋_GB2312" w:hAnsi="宋体" w:eastAsia="仿宋_GB2312"/>
          <w:sz w:val="32"/>
          <w:szCs w:val="32"/>
        </w:rPr>
        <w:t>、教学模式改革与创新</w:t>
      </w:r>
    </w:p>
    <w:p>
      <w:pPr>
        <w:spacing w:line="600" w:lineRule="exact"/>
        <w:ind w:firstLine="480" w:firstLineChars="150"/>
        <w:rPr>
          <w:rFonts w:hint="eastAsia" w:ascii="仿宋_GB2312" w:eastAsia="仿宋_GB2312"/>
          <w:sz w:val="32"/>
          <w:szCs w:val="32"/>
        </w:rPr>
      </w:pPr>
      <w:r>
        <w:rPr>
          <w:rFonts w:hint="eastAsia" w:ascii="仿宋_GB2312" w:hAnsi="宋体" w:eastAsia="仿宋_GB2312"/>
          <w:sz w:val="32"/>
          <w:szCs w:val="32"/>
        </w:rPr>
        <w:t>（</w:t>
      </w:r>
      <w:r>
        <w:rPr>
          <w:rFonts w:hint="eastAsia" w:ascii="仿宋_GB2312" w:eastAsia="仿宋_GB2312"/>
          <w:sz w:val="32"/>
          <w:szCs w:val="32"/>
        </w:rPr>
        <w:t>1</w:t>
      </w:r>
      <w:r>
        <w:rPr>
          <w:rFonts w:hint="eastAsia" w:ascii="仿宋_GB2312" w:hAnsi="宋体" w:eastAsia="仿宋_GB2312"/>
          <w:sz w:val="32"/>
          <w:szCs w:val="32"/>
        </w:rPr>
        <w:t>）注重现代教育手段与方法的运用；</w:t>
      </w:r>
    </w:p>
    <w:p>
      <w:pPr>
        <w:spacing w:line="600" w:lineRule="exact"/>
        <w:ind w:firstLine="480" w:firstLineChars="150"/>
        <w:rPr>
          <w:rFonts w:hint="eastAsia" w:ascii="仿宋_GB2312" w:eastAsia="仿宋_GB2312"/>
          <w:sz w:val="32"/>
          <w:szCs w:val="32"/>
        </w:rPr>
      </w:pPr>
      <w:r>
        <w:rPr>
          <w:rFonts w:hint="eastAsia" w:ascii="仿宋_GB2312" w:hAnsi="宋体" w:eastAsia="仿宋_GB2312"/>
          <w:sz w:val="32"/>
          <w:szCs w:val="32"/>
        </w:rPr>
        <w:t>（</w:t>
      </w:r>
      <w:r>
        <w:rPr>
          <w:rFonts w:hint="eastAsia" w:ascii="仿宋_GB2312" w:eastAsia="仿宋_GB2312"/>
          <w:sz w:val="32"/>
          <w:szCs w:val="32"/>
        </w:rPr>
        <w:t>2</w:t>
      </w:r>
      <w:r>
        <w:rPr>
          <w:rFonts w:hint="eastAsia" w:ascii="仿宋_GB2312" w:hAnsi="宋体" w:eastAsia="仿宋_GB2312"/>
          <w:sz w:val="32"/>
          <w:szCs w:val="32"/>
        </w:rPr>
        <w:t>）教学模式新颖，能充分发挥学生的主观能动性；</w:t>
      </w:r>
    </w:p>
    <w:p>
      <w:pPr>
        <w:spacing w:line="600" w:lineRule="exact"/>
        <w:ind w:firstLine="480" w:firstLineChars="150"/>
        <w:rPr>
          <w:rFonts w:hint="eastAsia" w:ascii="仿宋_GB2312" w:eastAsia="仿宋_GB2312"/>
          <w:sz w:val="32"/>
          <w:szCs w:val="32"/>
        </w:rPr>
      </w:pPr>
      <w:r>
        <w:rPr>
          <w:rFonts w:hint="eastAsia" w:ascii="仿宋_GB2312" w:hAnsi="宋体" w:eastAsia="仿宋_GB2312"/>
          <w:sz w:val="32"/>
          <w:szCs w:val="32"/>
        </w:rPr>
        <w:t>（</w:t>
      </w:r>
      <w:r>
        <w:rPr>
          <w:rFonts w:hint="eastAsia" w:ascii="仿宋_GB2312" w:eastAsia="仿宋_GB2312"/>
          <w:sz w:val="32"/>
          <w:szCs w:val="32"/>
        </w:rPr>
        <w:t>3</w:t>
      </w:r>
      <w:r>
        <w:rPr>
          <w:rFonts w:hint="eastAsia" w:ascii="仿宋_GB2312" w:hAnsi="宋体" w:eastAsia="仿宋_GB2312"/>
          <w:sz w:val="32"/>
          <w:szCs w:val="32"/>
        </w:rPr>
        <w:t>）因材施教</w:t>
      </w:r>
      <w:r>
        <w:rPr>
          <w:rFonts w:hint="eastAsia" w:ascii="仿宋_GB2312" w:eastAsia="仿宋_GB2312"/>
          <w:sz w:val="32"/>
          <w:szCs w:val="32"/>
        </w:rPr>
        <w:t>，</w:t>
      </w:r>
      <w:r>
        <w:rPr>
          <w:rFonts w:hint="eastAsia" w:ascii="仿宋_GB2312" w:hAnsi="宋体" w:eastAsia="仿宋_GB2312"/>
          <w:sz w:val="32"/>
          <w:szCs w:val="32"/>
        </w:rPr>
        <w:t>依景激情</w:t>
      </w:r>
      <w:r>
        <w:rPr>
          <w:rFonts w:hint="eastAsia" w:ascii="仿宋_GB2312" w:eastAsia="仿宋_GB2312"/>
          <w:sz w:val="32"/>
          <w:szCs w:val="32"/>
        </w:rPr>
        <w:t>，</w:t>
      </w:r>
      <w:r>
        <w:rPr>
          <w:rFonts w:hint="eastAsia" w:ascii="仿宋_GB2312" w:hAnsi="宋体" w:eastAsia="仿宋_GB2312"/>
          <w:sz w:val="32"/>
          <w:szCs w:val="32"/>
        </w:rPr>
        <w:t>重视学生创新能力的培养。</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5</w:t>
      </w:r>
      <w:r>
        <w:rPr>
          <w:rFonts w:hint="eastAsia" w:ascii="仿宋_GB2312" w:hAnsi="宋体" w:eastAsia="仿宋_GB2312"/>
          <w:sz w:val="32"/>
          <w:szCs w:val="32"/>
        </w:rPr>
        <w:t>、多媒体及板书</w:t>
      </w:r>
    </w:p>
    <w:p>
      <w:pPr>
        <w:spacing w:line="600" w:lineRule="exact"/>
        <w:ind w:firstLine="480" w:firstLineChars="150"/>
        <w:rPr>
          <w:rFonts w:hint="eastAsia" w:ascii="仿宋_GB2312" w:eastAsia="仿宋_GB2312"/>
          <w:sz w:val="32"/>
          <w:szCs w:val="32"/>
        </w:rPr>
      </w:pPr>
      <w:r>
        <w:rPr>
          <w:rFonts w:hint="eastAsia" w:ascii="仿宋_GB2312" w:hAnsi="宋体" w:eastAsia="仿宋_GB2312"/>
          <w:sz w:val="32"/>
          <w:szCs w:val="32"/>
        </w:rPr>
        <w:t>（</w:t>
      </w:r>
      <w:r>
        <w:rPr>
          <w:rFonts w:hint="eastAsia" w:ascii="仿宋_GB2312" w:eastAsia="仿宋_GB2312"/>
          <w:sz w:val="32"/>
          <w:szCs w:val="32"/>
        </w:rPr>
        <w:t>1</w:t>
      </w:r>
      <w:r>
        <w:rPr>
          <w:rFonts w:hint="eastAsia" w:ascii="仿宋_GB2312" w:hAnsi="宋体" w:eastAsia="仿宋_GB2312"/>
          <w:sz w:val="32"/>
          <w:szCs w:val="32"/>
        </w:rPr>
        <w:t>）多媒体技术应用得当；</w:t>
      </w:r>
    </w:p>
    <w:p>
      <w:pPr>
        <w:spacing w:line="600" w:lineRule="exact"/>
        <w:ind w:firstLine="480" w:firstLineChars="150"/>
        <w:rPr>
          <w:rFonts w:hint="eastAsia" w:ascii="仿宋_GB2312" w:eastAsia="仿宋_GB2312"/>
          <w:sz w:val="32"/>
          <w:szCs w:val="32"/>
        </w:rPr>
      </w:pPr>
      <w:r>
        <w:rPr>
          <w:rFonts w:hint="eastAsia" w:ascii="仿宋_GB2312" w:hAnsi="宋体" w:eastAsia="仿宋_GB2312"/>
          <w:sz w:val="32"/>
          <w:szCs w:val="32"/>
        </w:rPr>
        <w:t>（</w:t>
      </w:r>
      <w:r>
        <w:rPr>
          <w:rFonts w:hint="eastAsia" w:ascii="仿宋_GB2312" w:eastAsia="仿宋_GB2312"/>
          <w:sz w:val="32"/>
          <w:szCs w:val="32"/>
        </w:rPr>
        <w:t>2</w:t>
      </w:r>
      <w:r>
        <w:rPr>
          <w:rFonts w:hint="eastAsia" w:ascii="仿宋_GB2312" w:hAnsi="宋体" w:eastAsia="仿宋_GB2312"/>
          <w:sz w:val="32"/>
          <w:szCs w:val="32"/>
        </w:rPr>
        <w:t>）板书设计合理；</w:t>
      </w:r>
    </w:p>
    <w:p>
      <w:pPr>
        <w:spacing w:line="600" w:lineRule="exact"/>
        <w:ind w:firstLine="480" w:firstLineChars="150"/>
        <w:rPr>
          <w:rFonts w:hint="eastAsia" w:ascii="仿宋_GB2312" w:eastAsia="仿宋_GB2312"/>
          <w:sz w:val="32"/>
          <w:szCs w:val="32"/>
        </w:rPr>
      </w:pPr>
      <w:r>
        <w:rPr>
          <w:rFonts w:hint="eastAsia" w:ascii="仿宋_GB2312" w:hAnsi="宋体" w:eastAsia="仿宋_GB2312"/>
          <w:sz w:val="32"/>
          <w:szCs w:val="32"/>
        </w:rPr>
        <w:t>（</w:t>
      </w:r>
      <w:r>
        <w:rPr>
          <w:rFonts w:hint="eastAsia" w:ascii="仿宋_GB2312" w:eastAsia="仿宋_GB2312"/>
          <w:sz w:val="32"/>
          <w:szCs w:val="32"/>
        </w:rPr>
        <w:t>3</w:t>
      </w:r>
      <w:r>
        <w:rPr>
          <w:rFonts w:hint="eastAsia" w:ascii="仿宋_GB2312" w:hAnsi="宋体" w:eastAsia="仿宋_GB2312"/>
          <w:sz w:val="32"/>
          <w:szCs w:val="32"/>
        </w:rPr>
        <w:t>）字体图表工整、美观、规范。</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6</w:t>
      </w:r>
      <w:r>
        <w:rPr>
          <w:rFonts w:hint="eastAsia" w:ascii="仿宋_GB2312" w:hAnsi="宋体" w:eastAsia="仿宋_GB2312"/>
          <w:sz w:val="32"/>
          <w:szCs w:val="32"/>
        </w:rPr>
        <w:t>、其他</w:t>
      </w:r>
    </w:p>
    <w:p>
      <w:pPr>
        <w:spacing w:line="600" w:lineRule="exact"/>
        <w:ind w:firstLine="480" w:firstLineChars="150"/>
        <w:rPr>
          <w:rFonts w:hint="eastAsia" w:ascii="仿宋_GB2312" w:eastAsia="仿宋_GB2312"/>
          <w:sz w:val="32"/>
          <w:szCs w:val="32"/>
        </w:rPr>
      </w:pPr>
      <w:r>
        <w:rPr>
          <w:rFonts w:hint="eastAsia" w:ascii="仿宋_GB2312" w:hAnsi="宋体" w:eastAsia="仿宋_GB2312"/>
          <w:sz w:val="32"/>
          <w:szCs w:val="32"/>
        </w:rPr>
        <w:t>（</w:t>
      </w:r>
      <w:r>
        <w:rPr>
          <w:rFonts w:hint="eastAsia" w:ascii="仿宋_GB2312" w:eastAsia="仿宋_GB2312"/>
          <w:sz w:val="32"/>
          <w:szCs w:val="32"/>
        </w:rPr>
        <w:t>1</w:t>
      </w:r>
      <w:r>
        <w:rPr>
          <w:rFonts w:hint="eastAsia" w:ascii="仿宋_GB2312" w:hAnsi="宋体" w:eastAsia="仿宋_GB2312"/>
          <w:sz w:val="32"/>
          <w:szCs w:val="32"/>
        </w:rPr>
        <w:t>）人生观正确，生活态度积极；</w:t>
      </w:r>
    </w:p>
    <w:p>
      <w:pPr>
        <w:spacing w:line="600" w:lineRule="exact"/>
        <w:ind w:firstLine="480" w:firstLineChars="150"/>
        <w:rPr>
          <w:rFonts w:hint="eastAsia" w:ascii="仿宋_GB2312" w:eastAsia="仿宋_GB2312"/>
          <w:sz w:val="32"/>
          <w:szCs w:val="32"/>
        </w:rPr>
      </w:pPr>
      <w:r>
        <w:rPr>
          <w:rFonts w:hint="eastAsia" w:ascii="仿宋_GB2312" w:hAnsi="宋体" w:eastAsia="仿宋_GB2312"/>
          <w:sz w:val="32"/>
          <w:szCs w:val="32"/>
        </w:rPr>
        <w:t>（</w:t>
      </w:r>
      <w:r>
        <w:rPr>
          <w:rFonts w:hint="eastAsia" w:ascii="仿宋_GB2312" w:eastAsia="仿宋_GB2312"/>
          <w:sz w:val="32"/>
          <w:szCs w:val="32"/>
        </w:rPr>
        <w:t>2</w:t>
      </w:r>
      <w:r>
        <w:rPr>
          <w:rFonts w:hint="eastAsia" w:ascii="仿宋_GB2312" w:hAnsi="宋体" w:eastAsia="仿宋_GB2312"/>
          <w:sz w:val="32"/>
          <w:szCs w:val="32"/>
        </w:rPr>
        <w:t>）结合专业学习，主动关心学生的思想状况，培养学生的专业意识、引导学生树立正确世界观和价值观；</w:t>
      </w:r>
    </w:p>
    <w:p>
      <w:pPr>
        <w:spacing w:line="600" w:lineRule="exact"/>
        <w:ind w:firstLine="480" w:firstLineChars="150"/>
        <w:rPr>
          <w:rFonts w:hint="eastAsia" w:ascii="仿宋_GB2312" w:eastAsia="仿宋_GB2312"/>
          <w:sz w:val="32"/>
          <w:szCs w:val="32"/>
        </w:rPr>
      </w:pPr>
      <w:r>
        <w:rPr>
          <w:rFonts w:hint="eastAsia" w:ascii="仿宋_GB2312" w:hAnsi="宋体" w:eastAsia="仿宋_GB2312"/>
          <w:sz w:val="32"/>
          <w:szCs w:val="32"/>
        </w:rPr>
        <w:t>（</w:t>
      </w:r>
      <w:r>
        <w:rPr>
          <w:rFonts w:hint="eastAsia" w:ascii="仿宋_GB2312" w:eastAsia="仿宋_GB2312"/>
          <w:sz w:val="32"/>
          <w:szCs w:val="32"/>
        </w:rPr>
        <w:t>3</w:t>
      </w:r>
      <w:r>
        <w:rPr>
          <w:rFonts w:hint="eastAsia" w:ascii="仿宋_GB2312" w:hAnsi="宋体" w:eastAsia="仿宋_GB2312"/>
          <w:sz w:val="32"/>
          <w:szCs w:val="32"/>
        </w:rPr>
        <w:t>）尊重学生。</w:t>
      </w:r>
    </w:p>
    <w:p>
      <w:pPr>
        <w:spacing w:line="600" w:lineRule="exact"/>
        <w:ind w:firstLine="425" w:firstLineChars="133"/>
        <w:rPr>
          <w:rFonts w:hint="eastAsia" w:ascii="楷体_GB2312" w:hAnsi="宋体" w:eastAsia="楷体_GB2312"/>
          <w:sz w:val="32"/>
          <w:szCs w:val="32"/>
        </w:rPr>
      </w:pPr>
      <w:r>
        <w:rPr>
          <w:rFonts w:hint="eastAsia" w:ascii="楷体_GB2312" w:hAnsi="宋体" w:eastAsia="楷体_GB2312"/>
          <w:sz w:val="32"/>
          <w:szCs w:val="32"/>
        </w:rPr>
        <w:t>（三）回答问题</w:t>
      </w:r>
    </w:p>
    <w:p>
      <w:pPr>
        <w:spacing w:line="600" w:lineRule="exact"/>
        <w:ind w:firstLine="640" w:firstLineChars="200"/>
        <w:rPr>
          <w:rFonts w:hint="eastAsia" w:ascii="仿宋_GB2312" w:eastAsia="仿宋_GB2312"/>
          <w:sz w:val="32"/>
          <w:szCs w:val="32"/>
        </w:rPr>
      </w:pPr>
      <w:r>
        <w:rPr>
          <w:rFonts w:hint="eastAsia" w:ascii="仿宋_GB2312" w:hAnsi="宋体" w:eastAsia="仿宋_GB2312"/>
          <w:sz w:val="32"/>
          <w:szCs w:val="32"/>
        </w:rPr>
        <w:t>参赛教师能较好地回答评委的提问。</w:t>
      </w:r>
    </w:p>
    <w:p>
      <w:pPr>
        <w:pStyle w:val="4"/>
        <w:spacing w:before="0" w:after="0" w:line="415" w:lineRule="auto"/>
        <w:ind w:firstLine="640" w:firstLineChars="200"/>
        <w:rPr>
          <w:rFonts w:hint="eastAsia" w:ascii="黑体" w:eastAsia="黑体"/>
          <w:b w:val="0"/>
        </w:rPr>
      </w:pPr>
      <w:bookmarkStart w:id="77" w:name="_Toc496351252"/>
      <w:bookmarkStart w:id="78" w:name="_Toc496351360"/>
      <w:r>
        <w:rPr>
          <w:rFonts w:hint="eastAsia" w:ascii="黑体" w:eastAsia="黑体"/>
          <w:b w:val="0"/>
        </w:rPr>
        <w:t>四、大赛组织实施</w:t>
      </w:r>
      <w:bookmarkEnd w:id="77"/>
      <w:bookmarkEnd w:id="78"/>
    </w:p>
    <w:p>
      <w:pPr>
        <w:spacing w:line="600" w:lineRule="exact"/>
        <w:ind w:firstLine="425" w:firstLineChars="133"/>
        <w:rPr>
          <w:rFonts w:hint="eastAsia" w:ascii="仿宋_GB2312" w:eastAsia="仿宋_GB2312"/>
          <w:sz w:val="32"/>
          <w:szCs w:val="32"/>
        </w:rPr>
      </w:pPr>
      <w:r>
        <w:rPr>
          <w:rFonts w:hint="eastAsia" w:ascii="仿宋_GB2312" w:hAnsi="宋体" w:eastAsia="仿宋_GB2312"/>
          <w:sz w:val="32"/>
          <w:szCs w:val="32"/>
        </w:rPr>
        <w:t>（一）启动：成立大赛工作小组，召开学院初赛动员会议。</w:t>
      </w:r>
    </w:p>
    <w:p>
      <w:pPr>
        <w:spacing w:line="600" w:lineRule="exact"/>
        <w:ind w:firstLine="425" w:firstLineChars="133"/>
        <w:rPr>
          <w:rFonts w:hint="eastAsia" w:ascii="仿宋_GB2312" w:eastAsia="仿宋_GB2312"/>
          <w:sz w:val="32"/>
          <w:szCs w:val="32"/>
        </w:rPr>
      </w:pPr>
      <w:r>
        <w:rPr>
          <w:rFonts w:hint="eastAsia" w:ascii="仿宋_GB2312" w:hAnsi="宋体" w:eastAsia="仿宋_GB2312"/>
          <w:sz w:val="32"/>
          <w:szCs w:val="32"/>
        </w:rPr>
        <w:t>（二）每位参赛教师的比赛时间为</w:t>
      </w:r>
      <w:r>
        <w:rPr>
          <w:rFonts w:hint="eastAsia" w:ascii="仿宋_GB2312" w:eastAsia="仿宋_GB2312"/>
          <w:sz w:val="32"/>
          <w:szCs w:val="32"/>
        </w:rPr>
        <w:t>100</w:t>
      </w:r>
      <w:r>
        <w:rPr>
          <w:rFonts w:hint="eastAsia" w:ascii="仿宋_GB2312" w:hAnsi="宋体" w:eastAsia="仿宋_GB2312"/>
          <w:sz w:val="32"/>
          <w:szCs w:val="32"/>
        </w:rPr>
        <w:t>分钟（包括对教学工作的理解</w:t>
      </w:r>
      <w:r>
        <w:rPr>
          <w:rFonts w:hint="eastAsia" w:ascii="仿宋_GB2312" w:eastAsia="仿宋_GB2312"/>
          <w:sz w:val="32"/>
          <w:szCs w:val="32"/>
        </w:rPr>
        <w:t>5</w:t>
      </w:r>
      <w:r>
        <w:rPr>
          <w:rFonts w:hint="eastAsia" w:ascii="仿宋_GB2312" w:hAnsi="宋体" w:eastAsia="仿宋_GB2312"/>
          <w:sz w:val="32"/>
          <w:szCs w:val="32"/>
        </w:rPr>
        <w:t>分钟、说课</w:t>
      </w:r>
      <w:r>
        <w:rPr>
          <w:rFonts w:hint="eastAsia" w:ascii="仿宋_GB2312" w:eastAsia="仿宋_GB2312"/>
          <w:sz w:val="32"/>
          <w:szCs w:val="32"/>
        </w:rPr>
        <w:t>10</w:t>
      </w:r>
      <w:r>
        <w:rPr>
          <w:rFonts w:hint="eastAsia" w:ascii="仿宋_GB2312" w:hAnsi="宋体" w:eastAsia="仿宋_GB2312"/>
          <w:sz w:val="32"/>
          <w:szCs w:val="32"/>
        </w:rPr>
        <w:t>分钟、教学演示</w:t>
      </w:r>
      <w:r>
        <w:rPr>
          <w:rFonts w:hint="eastAsia" w:ascii="仿宋_GB2312" w:eastAsia="仿宋_GB2312"/>
          <w:sz w:val="32"/>
          <w:szCs w:val="32"/>
        </w:rPr>
        <w:t>50</w:t>
      </w:r>
      <w:r>
        <w:rPr>
          <w:rFonts w:hint="eastAsia" w:ascii="仿宋_GB2312" w:hAnsi="宋体" w:eastAsia="仿宋_GB2312"/>
          <w:sz w:val="32"/>
          <w:szCs w:val="32"/>
        </w:rPr>
        <w:t>分钟、回答问题及评议</w:t>
      </w:r>
      <w:r>
        <w:rPr>
          <w:rFonts w:hint="eastAsia" w:ascii="仿宋_GB2312" w:eastAsia="仿宋_GB2312"/>
          <w:sz w:val="32"/>
          <w:szCs w:val="32"/>
        </w:rPr>
        <w:t>30</w:t>
      </w:r>
      <w:r>
        <w:rPr>
          <w:rFonts w:hint="eastAsia" w:ascii="仿宋_GB2312" w:hAnsi="宋体" w:eastAsia="仿宋_GB2312"/>
          <w:sz w:val="32"/>
          <w:szCs w:val="32"/>
        </w:rPr>
        <w:t>分钟、教学文档检查</w:t>
      </w:r>
      <w:r>
        <w:rPr>
          <w:rFonts w:hint="eastAsia" w:ascii="仿宋_GB2312" w:eastAsia="仿宋_GB2312"/>
          <w:sz w:val="32"/>
          <w:szCs w:val="32"/>
        </w:rPr>
        <w:t>5</w:t>
      </w:r>
      <w:r>
        <w:rPr>
          <w:rFonts w:hint="eastAsia" w:ascii="仿宋_GB2312" w:hAnsi="宋体" w:eastAsia="仿宋_GB2312"/>
          <w:sz w:val="32"/>
          <w:szCs w:val="32"/>
        </w:rPr>
        <w:t>分钟）。</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1</w:t>
      </w:r>
      <w:r>
        <w:rPr>
          <w:rFonts w:hint="eastAsia" w:ascii="仿宋_GB2312" w:hAnsi="宋体" w:eastAsia="仿宋_GB2312"/>
          <w:sz w:val="32"/>
          <w:szCs w:val="32"/>
        </w:rPr>
        <w:t>、教学技能大赛随课堂教学举行，其中课堂授课时间直接进行教学演示。</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2、课间休息期间检查教学文档。</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3、授课教师对教学工作的理解、个人教学工作情况介绍、说课、回答问题等由学院通知所有参加比赛的教师统一举行。</w:t>
      </w:r>
    </w:p>
    <w:p>
      <w:pPr>
        <w:spacing w:line="600" w:lineRule="exact"/>
        <w:ind w:firstLine="425" w:firstLineChars="133"/>
        <w:rPr>
          <w:rFonts w:hint="eastAsia" w:ascii="仿宋_GB2312" w:eastAsia="仿宋_GB2312"/>
          <w:sz w:val="32"/>
          <w:szCs w:val="32"/>
        </w:rPr>
      </w:pPr>
      <w:r>
        <w:rPr>
          <w:rFonts w:hint="eastAsia" w:ascii="仿宋_GB2312" w:hAnsi="宋体" w:eastAsia="仿宋_GB2312"/>
          <w:sz w:val="32"/>
          <w:szCs w:val="32"/>
        </w:rPr>
        <w:t>（三）比赛评审专家组由学院教学督导委员会成员及系主任组成。担任评审专家的青年教师不参加本人赛教课次的评议、打分。</w:t>
      </w:r>
    </w:p>
    <w:p>
      <w:pPr>
        <w:pStyle w:val="4"/>
        <w:spacing w:before="0" w:after="0" w:line="415" w:lineRule="auto"/>
        <w:ind w:firstLine="640" w:firstLineChars="200"/>
        <w:rPr>
          <w:rFonts w:hint="eastAsia" w:ascii="黑体" w:eastAsia="黑体"/>
          <w:b w:val="0"/>
        </w:rPr>
      </w:pPr>
      <w:bookmarkStart w:id="79" w:name="_Toc496351361"/>
      <w:bookmarkStart w:id="80" w:name="_Toc496351253"/>
      <w:r>
        <w:rPr>
          <w:rFonts w:hint="eastAsia" w:ascii="黑体" w:eastAsia="黑体"/>
          <w:b w:val="0"/>
        </w:rPr>
        <w:t>五、大赛安排（具体时间以教务处规定时限为准）</w:t>
      </w:r>
      <w:bookmarkEnd w:id="79"/>
      <w:bookmarkEnd w:id="80"/>
    </w:p>
    <w:p>
      <w:pPr>
        <w:spacing w:line="600" w:lineRule="exact"/>
        <w:ind w:firstLine="425" w:firstLineChars="133"/>
        <w:rPr>
          <w:rFonts w:hint="eastAsia" w:ascii="仿宋_GB2312" w:eastAsia="仿宋_GB2312"/>
          <w:sz w:val="32"/>
          <w:szCs w:val="32"/>
        </w:rPr>
      </w:pPr>
      <w:r>
        <w:rPr>
          <w:rFonts w:hint="eastAsia" w:ascii="仿宋_GB2312" w:hAnsi="宋体" w:eastAsia="仿宋_GB2312"/>
          <w:sz w:val="32"/>
          <w:szCs w:val="32"/>
        </w:rPr>
        <w:t>（一）向学校上报学院青年教师教学技能大赛初赛实施方案。</w:t>
      </w:r>
    </w:p>
    <w:p>
      <w:pPr>
        <w:spacing w:line="600" w:lineRule="exact"/>
        <w:ind w:firstLine="425" w:firstLineChars="133"/>
        <w:rPr>
          <w:rFonts w:hint="eastAsia" w:ascii="仿宋_GB2312" w:eastAsia="仿宋_GB2312"/>
          <w:sz w:val="32"/>
          <w:szCs w:val="32"/>
        </w:rPr>
      </w:pPr>
      <w:r>
        <w:rPr>
          <w:rFonts w:hint="eastAsia" w:ascii="仿宋_GB2312" w:hAnsi="宋体" w:eastAsia="仿宋_GB2312"/>
          <w:sz w:val="32"/>
          <w:szCs w:val="32"/>
        </w:rPr>
        <w:t>（二）随堂进行教学技能比赛。</w:t>
      </w:r>
    </w:p>
    <w:p>
      <w:pPr>
        <w:spacing w:line="600" w:lineRule="exact"/>
        <w:ind w:firstLine="425" w:firstLineChars="133"/>
        <w:rPr>
          <w:rFonts w:hint="eastAsia" w:ascii="仿宋_GB2312" w:eastAsia="仿宋_GB2312"/>
          <w:sz w:val="32"/>
          <w:szCs w:val="32"/>
        </w:rPr>
      </w:pPr>
      <w:r>
        <w:rPr>
          <w:rFonts w:hint="eastAsia" w:ascii="仿宋_GB2312" w:hAnsi="宋体" w:eastAsia="仿宋_GB2312"/>
          <w:sz w:val="32"/>
          <w:szCs w:val="32"/>
        </w:rPr>
        <w:t>（三）总结表彰。</w:t>
      </w:r>
    </w:p>
    <w:p>
      <w:pPr>
        <w:spacing w:line="600" w:lineRule="exact"/>
        <w:ind w:firstLine="425" w:firstLineChars="133"/>
        <w:rPr>
          <w:rFonts w:hint="eastAsia" w:ascii="仿宋_GB2312" w:eastAsia="仿宋_GB2312"/>
          <w:sz w:val="32"/>
          <w:szCs w:val="32"/>
        </w:rPr>
      </w:pPr>
      <w:r>
        <w:rPr>
          <w:rFonts w:hint="eastAsia" w:ascii="仿宋_GB2312" w:eastAsia="仿宋_GB2312"/>
          <w:sz w:val="32"/>
          <w:szCs w:val="32"/>
        </w:rPr>
        <w:t>（四）向学校上报参加校级复赛名单及初赛总结。</w:t>
      </w:r>
    </w:p>
    <w:p>
      <w:pPr>
        <w:spacing w:line="600" w:lineRule="exact"/>
        <w:rPr>
          <w:rFonts w:hint="eastAsia" w:ascii="仿宋_GB2312" w:eastAsia="仿宋_GB2312"/>
          <w:sz w:val="32"/>
          <w:szCs w:val="32"/>
        </w:rPr>
      </w:pPr>
      <w:r>
        <w:rPr>
          <w:rFonts w:hint="eastAsia" w:ascii="仿宋_GB2312" w:eastAsia="仿宋_GB2312"/>
          <w:sz w:val="32"/>
          <w:szCs w:val="32"/>
        </w:rPr>
        <w:t xml:space="preserve">                                   </w:t>
      </w:r>
    </w:p>
    <w:p>
      <w:pPr>
        <w:spacing w:line="600" w:lineRule="exact"/>
        <w:rPr>
          <w:rFonts w:hint="eastAsia" w:ascii="仿宋_GB2312" w:eastAsia="仿宋_GB2312"/>
          <w:sz w:val="32"/>
          <w:szCs w:val="32"/>
        </w:rPr>
      </w:pPr>
      <w:r>
        <w:rPr>
          <w:rFonts w:hint="eastAsia" w:ascii="仿宋_GB2312" w:eastAsia="仿宋_GB2312"/>
          <w:sz w:val="32"/>
          <w:szCs w:val="32"/>
        </w:rPr>
        <w:t xml:space="preserve"> </w:t>
      </w:r>
    </w:p>
    <w:p>
      <w:pPr>
        <w:spacing w:line="600" w:lineRule="exact"/>
        <w:ind w:right="600"/>
        <w:jc w:val="right"/>
        <w:rPr>
          <w:rFonts w:hint="eastAsia" w:ascii="仿宋_GB2312" w:eastAsia="仿宋_GB2312"/>
          <w:sz w:val="32"/>
          <w:szCs w:val="32"/>
        </w:rPr>
      </w:pPr>
      <w:r>
        <w:rPr>
          <w:rFonts w:hint="eastAsia" w:ascii="仿宋_GB2312" w:hAnsi="宋体" w:eastAsia="仿宋_GB2312"/>
          <w:sz w:val="32"/>
          <w:szCs w:val="32"/>
        </w:rPr>
        <w:t>法学院</w:t>
      </w:r>
    </w:p>
    <w:p>
      <w:pPr>
        <w:pStyle w:val="18"/>
        <w:spacing w:before="0" w:beforeAutospacing="0" w:after="0" w:afterAutospacing="0" w:line="600" w:lineRule="exact"/>
        <w:jc w:val="right"/>
        <w:rPr>
          <w:rStyle w:val="22"/>
          <w:rFonts w:hint="eastAsia" w:ascii="仿宋_GB2312" w:hAnsi="Times New Roman" w:eastAsia="仿宋_GB2312" w:cs="Times New Roman"/>
          <w:b w:val="0"/>
          <w:sz w:val="32"/>
          <w:szCs w:val="32"/>
        </w:rPr>
      </w:pPr>
      <w:r>
        <w:rPr>
          <w:rStyle w:val="22"/>
          <w:rFonts w:hint="eastAsia" w:ascii="仿宋_GB2312" w:hAnsi="Times New Roman" w:eastAsia="仿宋_GB2312" w:cs="Times New Roman"/>
          <w:b w:val="0"/>
          <w:sz w:val="32"/>
          <w:szCs w:val="32"/>
        </w:rPr>
        <w:t xml:space="preserve">  </w:t>
      </w:r>
      <w:r>
        <w:rPr>
          <w:rStyle w:val="22"/>
          <w:rFonts w:hint="eastAsia" w:ascii="仿宋_GB2312" w:hAnsi="Verdana" w:eastAsia="仿宋_GB2312" w:cs="Times New Roman"/>
          <w:b w:val="0"/>
          <w:sz w:val="32"/>
          <w:szCs w:val="32"/>
          <w:lang w:eastAsia="zh-CN"/>
        </w:rPr>
        <w:t>二〇二一</w:t>
      </w:r>
      <w:r>
        <w:rPr>
          <w:rStyle w:val="22"/>
          <w:rFonts w:hint="eastAsia" w:ascii="仿宋_GB2312" w:hAnsi="Verdana" w:eastAsia="仿宋_GB2312" w:cs="Times New Roman"/>
          <w:b w:val="0"/>
          <w:sz w:val="32"/>
          <w:szCs w:val="32"/>
        </w:rPr>
        <w:t>年三月十日</w:t>
      </w:r>
    </w:p>
    <w:p>
      <w:pPr>
        <w:pStyle w:val="3"/>
        <w:spacing w:line="600" w:lineRule="exact"/>
        <w:jc w:val="center"/>
        <w:rPr>
          <w:rFonts w:hint="eastAsia" w:ascii="方正小标宋简体" w:hAnsi="Times New Roman" w:eastAsia="方正小标宋简体" w:cs="Times New Roman"/>
          <w:b w:val="0"/>
          <w:sz w:val="44"/>
          <w:szCs w:val="44"/>
        </w:rPr>
      </w:pPr>
      <w:r>
        <w:rPr>
          <w:rFonts w:hint="eastAsia" w:ascii="仿宋_GB2312" w:hAnsi="Times New Roman" w:eastAsia="仿宋_GB2312" w:cs="Times New Roman"/>
          <w:b w:val="0"/>
        </w:rPr>
        <w:br w:type="page"/>
      </w:r>
      <w:bookmarkStart w:id="81" w:name="_Toc484180120"/>
      <w:bookmarkStart w:id="82" w:name="_Toc496351254"/>
      <w:bookmarkStart w:id="83" w:name="_Toc496351362"/>
      <w:r>
        <w:rPr>
          <w:rFonts w:hint="eastAsia" w:ascii="方正小标宋简体" w:hAnsi="Times New Roman" w:eastAsia="方正小标宋简体" w:cs="Times New Roman"/>
          <w:b w:val="0"/>
          <w:sz w:val="44"/>
          <w:szCs w:val="44"/>
        </w:rPr>
        <w:t>法学院青年教师教学技能大赛初赛规则</w:t>
      </w:r>
      <w:bookmarkEnd w:id="81"/>
      <w:bookmarkEnd w:id="82"/>
      <w:bookmarkEnd w:id="83"/>
    </w:p>
    <w:p>
      <w:pPr>
        <w:spacing w:line="600" w:lineRule="exact"/>
        <w:ind w:firstLine="640" w:firstLineChars="200"/>
        <w:rPr>
          <w:rFonts w:hint="eastAsia" w:ascii="仿宋_GB2312" w:hAnsi="宋体" w:eastAsia="仿宋_GB2312"/>
          <w:sz w:val="32"/>
          <w:szCs w:val="32"/>
        </w:rPr>
      </w:pPr>
    </w:p>
    <w:p>
      <w:pPr>
        <w:spacing w:line="600" w:lineRule="exact"/>
        <w:ind w:firstLine="640" w:firstLineChars="200"/>
        <w:rPr>
          <w:rFonts w:hint="eastAsia" w:ascii="仿宋_GB2312" w:eastAsia="仿宋_GB2312"/>
          <w:sz w:val="32"/>
          <w:szCs w:val="32"/>
        </w:rPr>
      </w:pPr>
      <w:r>
        <w:rPr>
          <w:rFonts w:hint="eastAsia" w:ascii="仿宋_GB2312" w:hAnsi="宋体" w:eastAsia="仿宋_GB2312"/>
          <w:sz w:val="32"/>
          <w:szCs w:val="32"/>
        </w:rPr>
        <w:t>根据西北师范大学青年教师教学技能大赛的要求，学院做出如下部署，并制定初赛规则。</w:t>
      </w:r>
    </w:p>
    <w:p>
      <w:pPr>
        <w:pStyle w:val="4"/>
        <w:spacing w:before="0" w:after="0" w:line="415" w:lineRule="auto"/>
        <w:ind w:firstLine="640" w:firstLineChars="200"/>
        <w:rPr>
          <w:rFonts w:hint="eastAsia" w:ascii="黑体" w:eastAsia="黑体"/>
          <w:b w:val="0"/>
        </w:rPr>
      </w:pPr>
      <w:bookmarkStart w:id="84" w:name="_Toc496351255"/>
      <w:bookmarkStart w:id="85" w:name="_Toc496351363"/>
      <w:r>
        <w:rPr>
          <w:rFonts w:hint="eastAsia" w:ascii="黑体" w:eastAsia="黑体"/>
          <w:b w:val="0"/>
        </w:rPr>
        <w:t>一、初赛的宣传与组织</w:t>
      </w:r>
      <w:bookmarkEnd w:id="84"/>
      <w:bookmarkEnd w:id="85"/>
    </w:p>
    <w:p>
      <w:pPr>
        <w:spacing w:line="600" w:lineRule="exact"/>
        <w:ind w:firstLine="425" w:firstLineChars="133"/>
        <w:rPr>
          <w:rFonts w:hint="eastAsia" w:ascii="仿宋_GB2312" w:eastAsia="仿宋_GB2312"/>
          <w:sz w:val="32"/>
          <w:szCs w:val="32"/>
        </w:rPr>
      </w:pPr>
      <w:r>
        <w:rPr>
          <w:rFonts w:hint="eastAsia" w:ascii="仿宋_GB2312" w:hAnsi="宋体" w:eastAsia="仿宋_GB2312"/>
          <w:sz w:val="32"/>
          <w:szCs w:val="32"/>
        </w:rPr>
        <w:t>（一）学院在全院教职工大会上向全体教职工强调教学技能大赛之组织初衷和必要，强调本科教学之基础性。学院以加强专业内涵建设，提高人才培养质量，提升青年教师教学能力，深化教学改革为目的，努力提升青年教师教学技能水平，打造一流的法学教育基地。</w:t>
      </w:r>
    </w:p>
    <w:p>
      <w:pPr>
        <w:spacing w:line="600" w:lineRule="exact"/>
        <w:ind w:firstLine="425" w:firstLineChars="133"/>
        <w:rPr>
          <w:rFonts w:hint="eastAsia" w:ascii="仿宋_GB2312" w:eastAsia="仿宋_GB2312"/>
          <w:sz w:val="32"/>
          <w:szCs w:val="32"/>
        </w:rPr>
      </w:pPr>
      <w:r>
        <w:rPr>
          <w:rFonts w:hint="eastAsia" w:ascii="仿宋_GB2312" w:hAnsi="宋体" w:eastAsia="仿宋_GB2312"/>
          <w:sz w:val="32"/>
          <w:szCs w:val="32"/>
        </w:rPr>
        <w:t>（二）学院以系为单位，组织教学研究座谈会，就教学技能大赛的说课和讲课环节进行相关交流，请教学经验丰富的教师向年轻教师，尤其是非师范学校毕业的教师说明说课之意义。</w:t>
      </w:r>
    </w:p>
    <w:p>
      <w:pPr>
        <w:spacing w:line="600" w:lineRule="exact"/>
        <w:ind w:firstLine="425" w:firstLineChars="133"/>
        <w:rPr>
          <w:rFonts w:hint="eastAsia" w:ascii="仿宋_GB2312" w:eastAsia="仿宋_GB2312"/>
          <w:sz w:val="32"/>
          <w:szCs w:val="32"/>
        </w:rPr>
      </w:pPr>
      <w:r>
        <w:rPr>
          <w:rFonts w:hint="eastAsia" w:ascii="仿宋_GB2312" w:hAnsi="宋体" w:eastAsia="仿宋_GB2312"/>
          <w:sz w:val="32"/>
          <w:szCs w:val="32"/>
        </w:rPr>
        <w:t>（三）学院以教学委员会成员为基础，成立学院教学技能大赛领导小组。</w:t>
      </w:r>
    </w:p>
    <w:p>
      <w:pPr>
        <w:spacing w:line="600" w:lineRule="exact"/>
        <w:ind w:firstLine="425" w:firstLineChars="133"/>
        <w:rPr>
          <w:rFonts w:hint="eastAsia" w:ascii="仿宋_GB2312" w:eastAsia="仿宋_GB2312"/>
          <w:sz w:val="32"/>
          <w:szCs w:val="32"/>
        </w:rPr>
      </w:pPr>
      <w:r>
        <w:rPr>
          <w:rFonts w:hint="eastAsia" w:ascii="仿宋_GB2312" w:hAnsi="宋体" w:eastAsia="仿宋_GB2312"/>
          <w:sz w:val="32"/>
          <w:szCs w:val="32"/>
        </w:rPr>
        <w:t>（四）根据学校参加人数及推荐校级复赛名额分配要求，我院决定具体参赛名额并推送若干教师参加校级复赛。</w:t>
      </w:r>
      <w:r>
        <w:rPr>
          <w:rFonts w:hint="eastAsia" w:ascii="仿宋_GB2312" w:eastAsia="仿宋_GB2312"/>
          <w:sz w:val="32"/>
          <w:szCs w:val="32"/>
        </w:rPr>
        <w:t xml:space="preserve"> </w:t>
      </w:r>
    </w:p>
    <w:p>
      <w:pPr>
        <w:spacing w:line="600" w:lineRule="exact"/>
        <w:ind w:firstLine="425" w:firstLineChars="133"/>
        <w:rPr>
          <w:rFonts w:hint="eastAsia" w:ascii="仿宋_GB2312" w:eastAsia="仿宋_GB2312"/>
          <w:sz w:val="32"/>
          <w:szCs w:val="32"/>
        </w:rPr>
      </w:pPr>
      <w:r>
        <w:rPr>
          <w:rFonts w:hint="eastAsia" w:ascii="仿宋_GB2312" w:hAnsi="宋体" w:eastAsia="仿宋_GB2312"/>
          <w:sz w:val="32"/>
          <w:szCs w:val="32"/>
        </w:rPr>
        <w:t>（五）根据学院领导小组部署，将教学技能大赛全部事项内容在学院网站中列出，并随时更新比赛过程和结果。</w:t>
      </w:r>
    </w:p>
    <w:p>
      <w:pPr>
        <w:pStyle w:val="4"/>
        <w:spacing w:before="0" w:after="0" w:line="415" w:lineRule="auto"/>
        <w:ind w:firstLine="640" w:firstLineChars="200"/>
        <w:rPr>
          <w:rFonts w:hint="eastAsia" w:ascii="黑体" w:eastAsia="黑体"/>
          <w:b w:val="0"/>
        </w:rPr>
      </w:pPr>
      <w:bookmarkStart w:id="86" w:name="_Toc496351256"/>
      <w:bookmarkStart w:id="87" w:name="_Toc496351364"/>
      <w:r>
        <w:rPr>
          <w:rFonts w:hint="eastAsia" w:ascii="黑体" w:eastAsia="黑体"/>
          <w:b w:val="0"/>
        </w:rPr>
        <w:t>二、初赛规则</w:t>
      </w:r>
      <w:bookmarkEnd w:id="86"/>
      <w:bookmarkEnd w:id="87"/>
    </w:p>
    <w:p>
      <w:pPr>
        <w:spacing w:line="600" w:lineRule="exact"/>
        <w:ind w:firstLine="425" w:firstLineChars="133"/>
        <w:rPr>
          <w:rFonts w:hint="eastAsia" w:ascii="仿宋_GB2312" w:eastAsia="仿宋_GB2312"/>
          <w:sz w:val="32"/>
          <w:szCs w:val="32"/>
        </w:rPr>
      </w:pPr>
      <w:r>
        <w:rPr>
          <w:rFonts w:hint="eastAsia" w:ascii="仿宋_GB2312" w:hAnsi="宋体" w:eastAsia="仿宋_GB2312"/>
          <w:sz w:val="32"/>
          <w:szCs w:val="32"/>
        </w:rPr>
        <w:t>（一）比赛具体时间按照教学秩序由比赛教师确定，由学院大赛领导小组成员作为评委，其他教师旁听观摩。</w:t>
      </w:r>
    </w:p>
    <w:p>
      <w:pPr>
        <w:spacing w:line="600" w:lineRule="exact"/>
        <w:ind w:firstLine="425" w:firstLineChars="133"/>
        <w:rPr>
          <w:rFonts w:hint="eastAsia" w:ascii="仿宋_GB2312" w:eastAsia="仿宋_GB2312"/>
          <w:sz w:val="32"/>
          <w:szCs w:val="32"/>
        </w:rPr>
      </w:pPr>
      <w:r>
        <w:rPr>
          <w:rFonts w:hint="eastAsia" w:ascii="仿宋_GB2312" w:hAnsi="宋体" w:eastAsia="仿宋_GB2312"/>
          <w:sz w:val="32"/>
          <w:szCs w:val="32"/>
        </w:rPr>
        <w:t>（二）每位参赛教师的比赛及评议时间为</w:t>
      </w:r>
      <w:r>
        <w:rPr>
          <w:rFonts w:hint="eastAsia" w:ascii="仿宋_GB2312" w:eastAsia="仿宋_GB2312"/>
          <w:sz w:val="32"/>
          <w:szCs w:val="32"/>
        </w:rPr>
        <w:t>100</w:t>
      </w:r>
      <w:r>
        <w:rPr>
          <w:rFonts w:hint="eastAsia" w:ascii="仿宋_GB2312" w:hAnsi="宋体" w:eastAsia="仿宋_GB2312"/>
          <w:sz w:val="32"/>
          <w:szCs w:val="32"/>
        </w:rPr>
        <w:t>分钟。</w:t>
      </w:r>
    </w:p>
    <w:p>
      <w:pPr>
        <w:spacing w:line="600" w:lineRule="exact"/>
        <w:ind w:firstLine="640" w:firstLineChars="200"/>
        <w:rPr>
          <w:rFonts w:hint="eastAsia" w:ascii="仿宋_GB2312" w:eastAsia="仿宋_GB2312"/>
          <w:sz w:val="32"/>
          <w:szCs w:val="32"/>
        </w:rPr>
      </w:pPr>
      <w:r>
        <w:rPr>
          <w:rFonts w:hint="eastAsia" w:ascii="仿宋_GB2312" w:hAnsi="宋体" w:eastAsia="仿宋_GB2312"/>
          <w:sz w:val="32"/>
          <w:szCs w:val="32"/>
        </w:rPr>
        <w:t>其中，对本科教学的理解及个人教学工作情况介绍</w:t>
      </w:r>
      <w:r>
        <w:rPr>
          <w:rFonts w:hint="eastAsia" w:ascii="仿宋_GB2312" w:eastAsia="仿宋_GB2312"/>
          <w:sz w:val="32"/>
          <w:szCs w:val="32"/>
        </w:rPr>
        <w:t>5</w:t>
      </w:r>
      <w:r>
        <w:rPr>
          <w:rFonts w:hint="eastAsia" w:ascii="仿宋_GB2312" w:hAnsi="宋体" w:eastAsia="仿宋_GB2312"/>
          <w:sz w:val="32"/>
          <w:szCs w:val="32"/>
        </w:rPr>
        <w:t>分钟、说课</w:t>
      </w:r>
      <w:r>
        <w:rPr>
          <w:rFonts w:hint="eastAsia" w:ascii="仿宋_GB2312" w:eastAsia="仿宋_GB2312"/>
          <w:sz w:val="32"/>
          <w:szCs w:val="32"/>
        </w:rPr>
        <w:t>10</w:t>
      </w:r>
      <w:r>
        <w:rPr>
          <w:rFonts w:hint="eastAsia" w:ascii="仿宋_GB2312" w:hAnsi="宋体" w:eastAsia="仿宋_GB2312"/>
          <w:sz w:val="32"/>
          <w:szCs w:val="32"/>
        </w:rPr>
        <w:t>分钟、教学演示</w:t>
      </w:r>
      <w:r>
        <w:rPr>
          <w:rFonts w:hint="eastAsia" w:ascii="仿宋_GB2312" w:eastAsia="仿宋_GB2312"/>
          <w:sz w:val="32"/>
          <w:szCs w:val="32"/>
        </w:rPr>
        <w:t>50</w:t>
      </w:r>
      <w:r>
        <w:rPr>
          <w:rFonts w:hint="eastAsia" w:ascii="仿宋_GB2312" w:hAnsi="宋体" w:eastAsia="仿宋_GB2312"/>
          <w:sz w:val="32"/>
          <w:szCs w:val="32"/>
        </w:rPr>
        <w:t>分钟、回答问题及评议</w:t>
      </w:r>
      <w:r>
        <w:rPr>
          <w:rFonts w:hint="eastAsia" w:ascii="仿宋_GB2312" w:eastAsia="仿宋_GB2312"/>
          <w:sz w:val="32"/>
          <w:szCs w:val="32"/>
        </w:rPr>
        <w:t>30</w:t>
      </w:r>
      <w:r>
        <w:rPr>
          <w:rFonts w:hint="eastAsia" w:ascii="仿宋_GB2312" w:hAnsi="宋体" w:eastAsia="仿宋_GB2312"/>
          <w:sz w:val="32"/>
          <w:szCs w:val="32"/>
        </w:rPr>
        <w:t>分钟、教案检查及打分</w:t>
      </w:r>
      <w:r>
        <w:rPr>
          <w:rFonts w:hint="eastAsia" w:ascii="仿宋_GB2312" w:eastAsia="仿宋_GB2312"/>
          <w:sz w:val="32"/>
          <w:szCs w:val="32"/>
        </w:rPr>
        <w:t>5</w:t>
      </w:r>
      <w:r>
        <w:rPr>
          <w:rFonts w:hint="eastAsia" w:ascii="仿宋_GB2312" w:hAnsi="宋体" w:eastAsia="仿宋_GB2312"/>
          <w:sz w:val="32"/>
          <w:szCs w:val="32"/>
        </w:rPr>
        <w:t>分钟。</w:t>
      </w:r>
    </w:p>
    <w:p>
      <w:pPr>
        <w:spacing w:line="600" w:lineRule="exact"/>
        <w:ind w:firstLine="425" w:firstLineChars="133"/>
        <w:rPr>
          <w:rFonts w:hint="eastAsia" w:ascii="仿宋_GB2312" w:eastAsia="仿宋_GB2312"/>
          <w:sz w:val="32"/>
          <w:szCs w:val="32"/>
        </w:rPr>
      </w:pPr>
      <w:r>
        <w:rPr>
          <w:rFonts w:hint="eastAsia" w:ascii="仿宋_GB2312" w:hAnsi="宋体" w:eastAsia="仿宋_GB2312"/>
          <w:sz w:val="32"/>
          <w:szCs w:val="32"/>
        </w:rPr>
        <w:t>（三）评分细则。</w:t>
      </w:r>
    </w:p>
    <w:p>
      <w:pPr>
        <w:spacing w:line="600" w:lineRule="exact"/>
        <w:ind w:firstLine="640" w:firstLineChars="200"/>
        <w:rPr>
          <w:rFonts w:hint="eastAsia" w:ascii="仿宋_GB2312" w:eastAsia="仿宋_GB2312"/>
          <w:sz w:val="32"/>
          <w:szCs w:val="32"/>
        </w:rPr>
      </w:pPr>
      <w:r>
        <w:rPr>
          <w:rFonts w:hint="eastAsia" w:ascii="仿宋_GB2312" w:hAnsi="宋体" w:eastAsia="仿宋_GB2312"/>
          <w:sz w:val="32"/>
          <w:szCs w:val="32"/>
        </w:rPr>
        <w:t>评委成员严格按照如下评分细则（见后）打分，对参赛教师的教学技能进行全方位的评判，就参赛教师比赛的各个方面提出问题和建议，以便于青年教师完善各项技能，并争取在学校比赛中取得较好成绩。</w:t>
      </w:r>
    </w:p>
    <w:p>
      <w:pPr>
        <w:spacing w:line="600" w:lineRule="exact"/>
        <w:ind w:firstLine="425" w:firstLineChars="133"/>
        <w:rPr>
          <w:rFonts w:hint="eastAsia" w:ascii="仿宋_GB2312" w:eastAsia="仿宋_GB2312"/>
          <w:sz w:val="32"/>
          <w:szCs w:val="32"/>
        </w:rPr>
      </w:pPr>
      <w:r>
        <w:rPr>
          <w:rFonts w:hint="eastAsia" w:ascii="仿宋_GB2312" w:hAnsi="宋体" w:eastAsia="仿宋_GB2312"/>
          <w:sz w:val="32"/>
          <w:szCs w:val="32"/>
        </w:rPr>
        <w:t>（四）比赛规则和结果的最终解释由学院教学委员会做出。</w:t>
      </w:r>
    </w:p>
    <w:p>
      <w:pPr>
        <w:spacing w:line="600" w:lineRule="exact"/>
        <w:ind w:right="600"/>
        <w:jc w:val="right"/>
        <w:rPr>
          <w:rFonts w:hint="eastAsia" w:ascii="仿宋_GB2312" w:hAnsi="宋体" w:eastAsia="仿宋_GB2312"/>
          <w:sz w:val="32"/>
          <w:szCs w:val="32"/>
        </w:rPr>
      </w:pPr>
    </w:p>
    <w:p>
      <w:pPr>
        <w:spacing w:line="600" w:lineRule="exact"/>
        <w:ind w:firstLine="640" w:firstLineChars="200"/>
        <w:rPr>
          <w:rFonts w:hint="eastAsia" w:ascii="黑体" w:hAnsi="黑体" w:eastAsia="黑体"/>
          <w:sz w:val="32"/>
          <w:szCs w:val="32"/>
        </w:rPr>
      </w:pPr>
    </w:p>
    <w:p>
      <w:pPr>
        <w:spacing w:line="600" w:lineRule="exact"/>
        <w:ind w:right="600"/>
        <w:jc w:val="right"/>
        <w:rPr>
          <w:rFonts w:hint="eastAsia" w:ascii="仿宋_GB2312" w:eastAsia="仿宋_GB2312"/>
          <w:sz w:val="32"/>
          <w:szCs w:val="32"/>
        </w:rPr>
      </w:pPr>
      <w:r>
        <w:rPr>
          <w:rFonts w:hint="eastAsia" w:ascii="仿宋_GB2312" w:hAnsi="宋体" w:eastAsia="仿宋_GB2312"/>
          <w:sz w:val="32"/>
          <w:szCs w:val="32"/>
        </w:rPr>
        <w:t>法学院</w:t>
      </w:r>
    </w:p>
    <w:p>
      <w:pPr>
        <w:pStyle w:val="18"/>
        <w:spacing w:before="0" w:beforeAutospacing="0" w:after="0" w:afterAutospacing="0" w:line="600" w:lineRule="exact"/>
        <w:jc w:val="right"/>
        <w:rPr>
          <w:rStyle w:val="22"/>
          <w:rFonts w:hint="eastAsia" w:ascii="仿宋_GB2312" w:hAnsi="Times New Roman" w:eastAsia="仿宋_GB2312" w:cs="Times New Roman"/>
          <w:b w:val="0"/>
          <w:sz w:val="32"/>
          <w:szCs w:val="32"/>
        </w:rPr>
      </w:pPr>
      <w:r>
        <w:rPr>
          <w:rStyle w:val="22"/>
          <w:rFonts w:hint="eastAsia" w:ascii="仿宋_GB2312" w:hAnsi="Times New Roman" w:eastAsia="仿宋_GB2312" w:cs="Times New Roman"/>
          <w:b w:val="0"/>
          <w:sz w:val="32"/>
          <w:szCs w:val="32"/>
        </w:rPr>
        <w:t xml:space="preserve">  </w:t>
      </w:r>
      <w:r>
        <w:rPr>
          <w:rStyle w:val="22"/>
          <w:rFonts w:hint="eastAsia" w:ascii="仿宋_GB2312" w:hAnsi="Verdana" w:eastAsia="仿宋_GB2312" w:cs="Times New Roman"/>
          <w:b w:val="0"/>
          <w:sz w:val="32"/>
          <w:szCs w:val="32"/>
          <w:lang w:eastAsia="zh-CN"/>
        </w:rPr>
        <w:t>二〇二一</w:t>
      </w:r>
      <w:r>
        <w:rPr>
          <w:rStyle w:val="22"/>
          <w:rFonts w:hint="eastAsia" w:ascii="仿宋_GB2312" w:hAnsi="Verdana" w:eastAsia="仿宋_GB2312" w:cs="Times New Roman"/>
          <w:b w:val="0"/>
          <w:sz w:val="32"/>
          <w:szCs w:val="32"/>
        </w:rPr>
        <w:t>年三月十日</w:t>
      </w:r>
    </w:p>
    <w:p>
      <w:pPr>
        <w:pStyle w:val="3"/>
        <w:spacing w:line="600" w:lineRule="exact"/>
        <w:jc w:val="center"/>
        <w:rPr>
          <w:rFonts w:hint="eastAsia" w:ascii="仿宋_GB2312" w:hAnsi="Times New Roman" w:eastAsia="仿宋_GB2312" w:cs="Times New Roman"/>
          <w:b w:val="0"/>
        </w:rPr>
      </w:pPr>
    </w:p>
    <w:p>
      <w:pPr>
        <w:pStyle w:val="3"/>
        <w:spacing w:line="600" w:lineRule="exact"/>
        <w:jc w:val="center"/>
        <w:rPr>
          <w:rFonts w:hint="eastAsia" w:ascii="仿宋_GB2312" w:hAnsi="Times New Roman" w:eastAsia="仿宋_GB2312" w:cs="Times New Roman"/>
          <w:b w:val="0"/>
        </w:rPr>
      </w:pPr>
    </w:p>
    <w:p>
      <w:pPr>
        <w:pStyle w:val="3"/>
        <w:spacing w:line="600" w:lineRule="exact"/>
        <w:jc w:val="center"/>
        <w:rPr>
          <w:rFonts w:hint="eastAsia" w:ascii="仿宋_GB2312" w:hAnsi="Times New Roman" w:eastAsia="仿宋_GB2312" w:cs="Times New Roman"/>
          <w:b w:val="0"/>
        </w:rPr>
      </w:pPr>
    </w:p>
    <w:p>
      <w:pPr>
        <w:pStyle w:val="3"/>
        <w:spacing w:line="600" w:lineRule="exact"/>
        <w:jc w:val="center"/>
        <w:rPr>
          <w:rFonts w:hint="eastAsia" w:ascii="仿宋_GB2312" w:hAnsi="Times New Roman" w:eastAsia="仿宋_GB2312" w:cs="Times New Roman"/>
          <w:b w:val="0"/>
        </w:rPr>
      </w:pPr>
    </w:p>
    <w:p>
      <w:pPr>
        <w:pStyle w:val="3"/>
        <w:spacing w:line="600" w:lineRule="exact"/>
        <w:jc w:val="center"/>
        <w:rPr>
          <w:rFonts w:hint="eastAsia" w:ascii="仿宋_GB2312" w:hAnsi="Times New Roman" w:eastAsia="仿宋_GB2312" w:cs="Times New Roman"/>
          <w:b w:val="0"/>
        </w:rPr>
      </w:pPr>
    </w:p>
    <w:p>
      <w:pPr>
        <w:pStyle w:val="3"/>
        <w:spacing w:line="600" w:lineRule="exact"/>
        <w:jc w:val="center"/>
        <w:rPr>
          <w:rFonts w:hint="eastAsia" w:ascii="仿宋_GB2312" w:hAnsi="Times New Roman" w:eastAsia="仿宋_GB2312" w:cs="Times New Roman"/>
          <w:b w:val="0"/>
        </w:rPr>
      </w:pPr>
    </w:p>
    <w:p>
      <w:pPr>
        <w:pStyle w:val="3"/>
        <w:spacing w:before="0" w:after="0"/>
        <w:ind w:firstLine="640" w:firstLineChars="200"/>
        <w:jc w:val="both"/>
        <w:rPr>
          <w:rFonts w:hint="eastAsia" w:ascii="黑体" w:eastAsia="黑体"/>
          <w:b w:val="0"/>
        </w:rPr>
      </w:pPr>
      <w:r>
        <w:rPr>
          <w:rFonts w:ascii="黑体" w:hAnsi="黑体" w:eastAsia="黑体" w:cs="Times New Roman"/>
          <w:b w:val="0"/>
        </w:rPr>
        <w:br w:type="page"/>
      </w:r>
      <w:bookmarkStart w:id="88" w:name="_Toc496351257"/>
      <w:bookmarkStart w:id="89" w:name="_Toc496351365"/>
      <w:r>
        <w:rPr>
          <w:rFonts w:hint="eastAsia" w:ascii="黑体" w:eastAsia="黑体"/>
          <w:b w:val="0"/>
        </w:rPr>
        <w:t>法学院青年教师教学技能大赛院级初赛评分细则</w:t>
      </w:r>
      <w:bookmarkEnd w:id="88"/>
      <w:bookmarkEnd w:id="89"/>
    </w:p>
    <w:tbl>
      <w:tblPr>
        <w:tblStyle w:val="19"/>
        <w:tblW w:w="0" w:type="auto"/>
        <w:jc w:val="center"/>
        <w:tblLayout w:type="fixed"/>
        <w:tblCellMar>
          <w:top w:w="0" w:type="dxa"/>
          <w:left w:w="108" w:type="dxa"/>
          <w:bottom w:w="0" w:type="dxa"/>
          <w:right w:w="108" w:type="dxa"/>
        </w:tblCellMar>
      </w:tblPr>
      <w:tblGrid>
        <w:gridCol w:w="1540"/>
        <w:gridCol w:w="5600"/>
        <w:gridCol w:w="480"/>
        <w:gridCol w:w="936"/>
        <w:gridCol w:w="770"/>
      </w:tblGrid>
      <w:tr>
        <w:tblPrEx>
          <w:tblCellMar>
            <w:top w:w="0" w:type="dxa"/>
            <w:left w:w="108" w:type="dxa"/>
            <w:bottom w:w="0" w:type="dxa"/>
            <w:right w:w="108" w:type="dxa"/>
          </w:tblCellMar>
        </w:tblPrEx>
        <w:trPr>
          <w:wBefore w:w="0" w:type="dxa"/>
          <w:wAfter w:w="0" w:type="dxa"/>
          <w:trHeight w:val="540" w:hRule="atLeast"/>
          <w:jc w:val="center"/>
        </w:trPr>
        <w:tc>
          <w:tcPr>
            <w:tcW w:w="1540" w:type="dxa"/>
            <w:tcBorders>
              <w:top w:val="single" w:color="auto" w:sz="8" w:space="0"/>
              <w:left w:val="single" w:color="auto" w:sz="8" w:space="0"/>
              <w:bottom w:val="single" w:color="auto" w:sz="4" w:space="0"/>
              <w:right w:val="single" w:color="auto" w:sz="4" w:space="0"/>
            </w:tcBorders>
            <w:noWrap w:val="0"/>
            <w:vAlign w:val="center"/>
          </w:tcPr>
          <w:p>
            <w:pPr>
              <w:widowControl/>
              <w:jc w:val="center"/>
              <w:rPr>
                <w:rFonts w:hint="eastAsia" w:ascii="仿宋_GB2312" w:eastAsia="仿宋_GB2312"/>
                <w:b/>
                <w:bCs/>
                <w:kern w:val="0"/>
                <w:szCs w:val="21"/>
              </w:rPr>
            </w:pPr>
            <w:r>
              <w:rPr>
                <w:rFonts w:hint="eastAsia" w:ascii="仿宋_GB2312" w:hAnsi="宋体" w:eastAsia="仿宋_GB2312"/>
                <w:b/>
                <w:bCs/>
                <w:kern w:val="0"/>
                <w:szCs w:val="21"/>
              </w:rPr>
              <w:t>评分项目</w:t>
            </w:r>
          </w:p>
        </w:tc>
        <w:tc>
          <w:tcPr>
            <w:tcW w:w="5600" w:type="dxa"/>
            <w:tcBorders>
              <w:top w:val="single" w:color="auto" w:sz="8" w:space="0"/>
              <w:left w:val="nil"/>
              <w:bottom w:val="single" w:color="auto" w:sz="4" w:space="0"/>
              <w:right w:val="single" w:color="auto" w:sz="4" w:space="0"/>
            </w:tcBorders>
            <w:noWrap w:val="0"/>
            <w:vAlign w:val="center"/>
          </w:tcPr>
          <w:p>
            <w:pPr>
              <w:widowControl/>
              <w:jc w:val="center"/>
              <w:rPr>
                <w:rFonts w:hint="eastAsia" w:ascii="仿宋_GB2312" w:eastAsia="仿宋_GB2312"/>
                <w:b/>
                <w:bCs/>
                <w:kern w:val="0"/>
                <w:szCs w:val="21"/>
              </w:rPr>
            </w:pPr>
            <w:r>
              <w:rPr>
                <w:rFonts w:hint="eastAsia" w:ascii="仿宋_GB2312" w:hAnsi="宋体" w:eastAsia="仿宋_GB2312"/>
                <w:b/>
                <w:bCs/>
                <w:kern w:val="0"/>
                <w:szCs w:val="21"/>
              </w:rPr>
              <w:t>评分标准</w:t>
            </w:r>
          </w:p>
        </w:tc>
        <w:tc>
          <w:tcPr>
            <w:tcW w:w="1416" w:type="dxa"/>
            <w:gridSpan w:val="2"/>
            <w:tcBorders>
              <w:top w:val="single" w:color="auto" w:sz="8" w:space="0"/>
              <w:left w:val="nil"/>
              <w:bottom w:val="single" w:color="auto" w:sz="4" w:space="0"/>
              <w:right w:val="single" w:color="auto" w:sz="4" w:space="0"/>
            </w:tcBorders>
            <w:noWrap w:val="0"/>
            <w:vAlign w:val="center"/>
          </w:tcPr>
          <w:p>
            <w:pPr>
              <w:widowControl/>
              <w:jc w:val="center"/>
              <w:rPr>
                <w:rFonts w:hint="eastAsia" w:ascii="仿宋_GB2312" w:eastAsia="仿宋_GB2312"/>
                <w:b/>
                <w:bCs/>
                <w:kern w:val="0"/>
                <w:szCs w:val="21"/>
              </w:rPr>
            </w:pPr>
            <w:r>
              <w:rPr>
                <w:rFonts w:hint="eastAsia" w:ascii="仿宋_GB2312" w:hAnsi="宋体" w:eastAsia="仿宋_GB2312"/>
                <w:b/>
                <w:bCs/>
                <w:kern w:val="0"/>
                <w:szCs w:val="21"/>
              </w:rPr>
              <w:t>评分等级</w:t>
            </w:r>
          </w:p>
        </w:tc>
        <w:tc>
          <w:tcPr>
            <w:tcW w:w="770" w:type="dxa"/>
            <w:tcBorders>
              <w:top w:val="single" w:color="auto" w:sz="8" w:space="0"/>
              <w:left w:val="nil"/>
              <w:bottom w:val="single" w:color="auto" w:sz="4" w:space="0"/>
              <w:right w:val="single" w:color="auto" w:sz="8" w:space="0"/>
            </w:tcBorders>
            <w:noWrap w:val="0"/>
            <w:vAlign w:val="center"/>
          </w:tcPr>
          <w:p>
            <w:pPr>
              <w:widowControl/>
              <w:jc w:val="center"/>
              <w:rPr>
                <w:rFonts w:hint="eastAsia" w:ascii="仿宋_GB2312" w:eastAsia="仿宋_GB2312"/>
                <w:b/>
                <w:bCs/>
                <w:kern w:val="0"/>
                <w:szCs w:val="21"/>
              </w:rPr>
            </w:pPr>
            <w:r>
              <w:rPr>
                <w:rFonts w:hint="eastAsia" w:ascii="仿宋_GB2312" w:hAnsi="宋体" w:eastAsia="仿宋_GB2312"/>
                <w:b/>
                <w:bCs/>
                <w:kern w:val="0"/>
                <w:szCs w:val="21"/>
              </w:rPr>
              <w:t>评分</w:t>
            </w:r>
          </w:p>
        </w:tc>
      </w:tr>
      <w:tr>
        <w:tblPrEx>
          <w:tblCellMar>
            <w:top w:w="0" w:type="dxa"/>
            <w:left w:w="108" w:type="dxa"/>
            <w:bottom w:w="0" w:type="dxa"/>
            <w:right w:w="108" w:type="dxa"/>
          </w:tblCellMar>
        </w:tblPrEx>
        <w:trPr>
          <w:wBefore w:w="0" w:type="dxa"/>
          <w:wAfter w:w="0" w:type="dxa"/>
          <w:trHeight w:val="348" w:hRule="atLeast"/>
          <w:jc w:val="center"/>
        </w:trPr>
        <w:tc>
          <w:tcPr>
            <w:tcW w:w="1540" w:type="dxa"/>
            <w:vMerge w:val="restart"/>
            <w:tcBorders>
              <w:top w:val="nil"/>
              <w:left w:val="single" w:color="auto" w:sz="8" w:space="0"/>
              <w:bottom w:val="single" w:color="auto" w:sz="4" w:space="0"/>
              <w:right w:val="single" w:color="auto" w:sz="4" w:space="0"/>
            </w:tcBorders>
            <w:noWrap w:val="0"/>
            <w:vAlign w:val="center"/>
          </w:tcPr>
          <w:p>
            <w:pPr>
              <w:widowControl/>
              <w:jc w:val="center"/>
              <w:rPr>
                <w:rFonts w:hint="eastAsia" w:ascii="仿宋_GB2312" w:eastAsia="仿宋_GB2312"/>
                <w:kern w:val="0"/>
                <w:szCs w:val="21"/>
              </w:rPr>
            </w:pPr>
            <w:r>
              <w:rPr>
                <w:rFonts w:hint="eastAsia" w:ascii="仿宋_GB2312" w:hAnsi="宋体" w:eastAsia="仿宋_GB2312"/>
                <w:kern w:val="0"/>
                <w:szCs w:val="21"/>
              </w:rPr>
              <w:t>对教学工作的理解及</w:t>
            </w:r>
          </w:p>
          <w:p>
            <w:pPr>
              <w:widowControl/>
              <w:jc w:val="center"/>
              <w:rPr>
                <w:rFonts w:hint="eastAsia" w:ascii="仿宋_GB2312" w:eastAsia="仿宋_GB2312"/>
                <w:kern w:val="0"/>
                <w:szCs w:val="21"/>
              </w:rPr>
            </w:pPr>
            <w:r>
              <w:rPr>
                <w:rFonts w:hint="eastAsia" w:ascii="仿宋_GB2312" w:hAnsi="宋体" w:eastAsia="仿宋_GB2312"/>
                <w:kern w:val="0"/>
                <w:szCs w:val="21"/>
              </w:rPr>
              <w:t>教案</w:t>
            </w:r>
          </w:p>
          <w:p>
            <w:pPr>
              <w:widowControl/>
              <w:jc w:val="center"/>
              <w:rPr>
                <w:rFonts w:hint="eastAsia" w:ascii="仿宋_GB2312" w:eastAsia="仿宋_GB2312"/>
                <w:kern w:val="0"/>
                <w:szCs w:val="21"/>
              </w:rPr>
            </w:pPr>
            <w:r>
              <w:rPr>
                <w:rFonts w:hint="eastAsia" w:ascii="仿宋_GB2312" w:hAnsi="宋体" w:eastAsia="仿宋_GB2312"/>
                <w:kern w:val="0"/>
                <w:szCs w:val="21"/>
              </w:rPr>
              <w:t>（</w:t>
            </w:r>
            <w:r>
              <w:rPr>
                <w:rFonts w:hint="eastAsia" w:ascii="仿宋_GB2312" w:eastAsia="仿宋_GB2312"/>
                <w:kern w:val="0"/>
                <w:szCs w:val="21"/>
              </w:rPr>
              <w:t>10</w:t>
            </w:r>
            <w:r>
              <w:rPr>
                <w:rFonts w:hint="eastAsia" w:ascii="仿宋_GB2312" w:hAnsi="宋体" w:eastAsia="仿宋_GB2312"/>
                <w:kern w:val="0"/>
                <w:szCs w:val="21"/>
              </w:rPr>
              <w:t>分）</w:t>
            </w:r>
          </w:p>
        </w:tc>
        <w:tc>
          <w:tcPr>
            <w:tcW w:w="5600" w:type="dxa"/>
            <w:vMerge w:val="restart"/>
            <w:tcBorders>
              <w:top w:val="nil"/>
              <w:left w:val="single" w:color="auto" w:sz="4" w:space="0"/>
              <w:bottom w:val="single" w:color="auto" w:sz="4" w:space="0"/>
              <w:right w:val="single" w:color="auto" w:sz="4" w:space="0"/>
            </w:tcBorders>
            <w:noWrap w:val="0"/>
            <w:vAlign w:val="center"/>
          </w:tcPr>
          <w:p>
            <w:pPr>
              <w:widowControl/>
              <w:jc w:val="left"/>
              <w:rPr>
                <w:rFonts w:hint="eastAsia" w:ascii="仿宋_GB2312" w:eastAsia="仿宋_GB2312"/>
                <w:kern w:val="0"/>
                <w:szCs w:val="21"/>
              </w:rPr>
            </w:pPr>
            <w:r>
              <w:rPr>
                <w:rFonts w:hint="eastAsia" w:ascii="仿宋_GB2312" w:eastAsia="仿宋_GB2312"/>
                <w:kern w:val="0"/>
                <w:szCs w:val="21"/>
              </w:rPr>
              <w:t>1</w:t>
            </w:r>
            <w:r>
              <w:rPr>
                <w:rFonts w:hint="eastAsia" w:ascii="仿宋_GB2312" w:hAnsi="宋体" w:eastAsia="仿宋_GB2312"/>
                <w:kern w:val="0"/>
                <w:szCs w:val="21"/>
              </w:rPr>
              <w:t>、对教学工作的理解具体、全面；</w:t>
            </w:r>
            <w:r>
              <w:rPr>
                <w:rFonts w:hint="eastAsia" w:ascii="仿宋_GB2312" w:eastAsia="仿宋_GB2312"/>
                <w:kern w:val="0"/>
                <w:szCs w:val="21"/>
              </w:rPr>
              <w:t xml:space="preserve">               2</w:t>
            </w:r>
            <w:r>
              <w:rPr>
                <w:rFonts w:hint="eastAsia" w:ascii="仿宋_GB2312" w:hAnsi="宋体" w:eastAsia="仿宋_GB2312"/>
                <w:kern w:val="0"/>
                <w:szCs w:val="21"/>
              </w:rPr>
              <w:t>、教案设计目标明确，条理清晰，重点、要点突出，并对重点和难点讲授设计了有效措施。</w:t>
            </w:r>
          </w:p>
        </w:tc>
        <w:tc>
          <w:tcPr>
            <w:tcW w:w="480" w:type="dxa"/>
            <w:tcBorders>
              <w:top w:val="nil"/>
              <w:left w:val="nil"/>
              <w:bottom w:val="single" w:color="auto" w:sz="4" w:space="0"/>
              <w:right w:val="single" w:color="auto" w:sz="4" w:space="0"/>
            </w:tcBorders>
            <w:noWrap w:val="0"/>
            <w:vAlign w:val="center"/>
          </w:tcPr>
          <w:p>
            <w:pPr>
              <w:widowControl/>
              <w:jc w:val="center"/>
              <w:rPr>
                <w:rFonts w:hint="eastAsia" w:ascii="仿宋_GB2312" w:eastAsia="仿宋_GB2312"/>
                <w:kern w:val="0"/>
                <w:szCs w:val="21"/>
              </w:rPr>
            </w:pPr>
            <w:r>
              <w:rPr>
                <w:rFonts w:hint="eastAsia" w:ascii="仿宋_GB2312" w:hAnsi="宋体" w:eastAsia="仿宋_GB2312"/>
                <w:kern w:val="0"/>
                <w:szCs w:val="21"/>
              </w:rPr>
              <w:t>优</w:t>
            </w:r>
          </w:p>
        </w:tc>
        <w:tc>
          <w:tcPr>
            <w:tcW w:w="936" w:type="dxa"/>
            <w:tcBorders>
              <w:top w:val="nil"/>
              <w:left w:val="nil"/>
              <w:bottom w:val="single" w:color="auto" w:sz="4" w:space="0"/>
              <w:right w:val="single" w:color="auto" w:sz="4" w:space="0"/>
            </w:tcBorders>
            <w:noWrap w:val="0"/>
            <w:vAlign w:val="center"/>
          </w:tcPr>
          <w:p>
            <w:pPr>
              <w:widowControl/>
              <w:jc w:val="center"/>
              <w:rPr>
                <w:rFonts w:hint="eastAsia" w:ascii="仿宋_GB2312" w:eastAsia="仿宋_GB2312"/>
                <w:kern w:val="0"/>
                <w:szCs w:val="21"/>
              </w:rPr>
            </w:pPr>
            <w:r>
              <w:rPr>
                <w:rFonts w:hint="eastAsia" w:ascii="仿宋_GB2312" w:eastAsia="仿宋_GB2312"/>
                <w:kern w:val="0"/>
                <w:szCs w:val="21"/>
              </w:rPr>
              <w:t>8-10</w:t>
            </w:r>
          </w:p>
        </w:tc>
        <w:tc>
          <w:tcPr>
            <w:tcW w:w="770" w:type="dxa"/>
            <w:vMerge w:val="restart"/>
            <w:tcBorders>
              <w:top w:val="nil"/>
              <w:left w:val="single" w:color="auto" w:sz="4" w:space="0"/>
              <w:bottom w:val="single" w:color="auto" w:sz="4" w:space="0"/>
              <w:right w:val="single" w:color="auto" w:sz="8" w:space="0"/>
            </w:tcBorders>
            <w:noWrap w:val="0"/>
            <w:vAlign w:val="center"/>
          </w:tcPr>
          <w:p>
            <w:pPr>
              <w:widowControl/>
              <w:jc w:val="center"/>
              <w:rPr>
                <w:rFonts w:hint="eastAsia" w:ascii="仿宋_GB2312" w:eastAsia="仿宋_GB2312"/>
                <w:kern w:val="0"/>
                <w:szCs w:val="21"/>
              </w:rPr>
            </w:pPr>
            <w:r>
              <w:rPr>
                <w:rFonts w:hint="eastAsia" w:ascii="仿宋_GB2312" w:hAnsi="宋体" w:eastAsia="仿宋_GB2312"/>
                <w:kern w:val="0"/>
                <w:szCs w:val="21"/>
              </w:rPr>
              <w:t>　</w:t>
            </w:r>
          </w:p>
        </w:tc>
      </w:tr>
      <w:tr>
        <w:tblPrEx>
          <w:tblCellMar>
            <w:top w:w="0" w:type="dxa"/>
            <w:left w:w="108" w:type="dxa"/>
            <w:bottom w:w="0" w:type="dxa"/>
            <w:right w:w="108" w:type="dxa"/>
          </w:tblCellMar>
        </w:tblPrEx>
        <w:trPr>
          <w:wBefore w:w="0" w:type="dxa"/>
          <w:wAfter w:w="0" w:type="dxa"/>
          <w:trHeight w:val="296" w:hRule="atLeast"/>
          <w:jc w:val="center"/>
        </w:trPr>
        <w:tc>
          <w:tcPr>
            <w:tcW w:w="1540" w:type="dxa"/>
            <w:vMerge w:val="continue"/>
            <w:tcBorders>
              <w:top w:val="nil"/>
              <w:left w:val="single" w:color="auto" w:sz="8" w:space="0"/>
              <w:bottom w:val="single" w:color="auto" w:sz="4" w:space="0"/>
              <w:right w:val="single" w:color="auto" w:sz="4" w:space="0"/>
            </w:tcBorders>
            <w:noWrap w:val="0"/>
            <w:vAlign w:val="center"/>
          </w:tcPr>
          <w:p>
            <w:pPr>
              <w:widowControl/>
              <w:jc w:val="left"/>
              <w:rPr>
                <w:rFonts w:hint="eastAsia" w:ascii="仿宋_GB2312" w:eastAsia="仿宋_GB2312"/>
                <w:kern w:val="0"/>
                <w:szCs w:val="21"/>
              </w:rPr>
            </w:pPr>
          </w:p>
        </w:tc>
        <w:tc>
          <w:tcPr>
            <w:tcW w:w="560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仿宋_GB2312" w:eastAsia="仿宋_GB2312"/>
                <w:kern w:val="0"/>
                <w:szCs w:val="21"/>
              </w:rPr>
            </w:pPr>
          </w:p>
        </w:tc>
        <w:tc>
          <w:tcPr>
            <w:tcW w:w="480" w:type="dxa"/>
            <w:tcBorders>
              <w:top w:val="nil"/>
              <w:left w:val="nil"/>
              <w:bottom w:val="single" w:color="auto" w:sz="4" w:space="0"/>
              <w:right w:val="single" w:color="auto" w:sz="4" w:space="0"/>
            </w:tcBorders>
            <w:noWrap w:val="0"/>
            <w:vAlign w:val="center"/>
          </w:tcPr>
          <w:p>
            <w:pPr>
              <w:widowControl/>
              <w:jc w:val="center"/>
              <w:rPr>
                <w:rFonts w:hint="eastAsia" w:ascii="仿宋_GB2312" w:eastAsia="仿宋_GB2312"/>
                <w:kern w:val="0"/>
                <w:szCs w:val="21"/>
              </w:rPr>
            </w:pPr>
            <w:r>
              <w:rPr>
                <w:rFonts w:hint="eastAsia" w:ascii="仿宋_GB2312" w:hAnsi="宋体" w:eastAsia="仿宋_GB2312"/>
                <w:kern w:val="0"/>
                <w:szCs w:val="21"/>
              </w:rPr>
              <w:t>良</w:t>
            </w:r>
          </w:p>
        </w:tc>
        <w:tc>
          <w:tcPr>
            <w:tcW w:w="936" w:type="dxa"/>
            <w:tcBorders>
              <w:top w:val="nil"/>
              <w:left w:val="nil"/>
              <w:bottom w:val="single" w:color="auto" w:sz="4" w:space="0"/>
              <w:right w:val="single" w:color="auto" w:sz="4" w:space="0"/>
            </w:tcBorders>
            <w:noWrap w:val="0"/>
            <w:vAlign w:val="center"/>
          </w:tcPr>
          <w:p>
            <w:pPr>
              <w:widowControl/>
              <w:jc w:val="center"/>
              <w:rPr>
                <w:rFonts w:hint="eastAsia" w:ascii="仿宋_GB2312" w:eastAsia="仿宋_GB2312"/>
                <w:kern w:val="0"/>
                <w:szCs w:val="21"/>
              </w:rPr>
            </w:pPr>
            <w:r>
              <w:rPr>
                <w:rFonts w:hint="eastAsia" w:ascii="仿宋_GB2312" w:eastAsia="仿宋_GB2312"/>
                <w:kern w:val="0"/>
                <w:szCs w:val="21"/>
              </w:rPr>
              <w:t>5-7</w:t>
            </w:r>
          </w:p>
        </w:tc>
        <w:tc>
          <w:tcPr>
            <w:tcW w:w="770" w:type="dxa"/>
            <w:vMerge w:val="continue"/>
            <w:tcBorders>
              <w:top w:val="nil"/>
              <w:left w:val="single" w:color="auto" w:sz="4" w:space="0"/>
              <w:bottom w:val="single" w:color="auto" w:sz="4" w:space="0"/>
              <w:right w:val="single" w:color="auto" w:sz="8" w:space="0"/>
            </w:tcBorders>
            <w:noWrap w:val="0"/>
            <w:vAlign w:val="center"/>
          </w:tcPr>
          <w:p>
            <w:pPr>
              <w:widowControl/>
              <w:jc w:val="left"/>
              <w:rPr>
                <w:rFonts w:hint="eastAsia" w:ascii="仿宋_GB2312" w:eastAsia="仿宋_GB2312"/>
                <w:kern w:val="0"/>
                <w:szCs w:val="21"/>
              </w:rPr>
            </w:pPr>
          </w:p>
        </w:tc>
      </w:tr>
      <w:tr>
        <w:tblPrEx>
          <w:tblCellMar>
            <w:top w:w="0" w:type="dxa"/>
            <w:left w:w="108" w:type="dxa"/>
            <w:bottom w:w="0" w:type="dxa"/>
            <w:right w:w="108" w:type="dxa"/>
          </w:tblCellMar>
        </w:tblPrEx>
        <w:trPr>
          <w:wBefore w:w="0" w:type="dxa"/>
          <w:wAfter w:w="0" w:type="dxa"/>
          <w:trHeight w:val="290" w:hRule="atLeast"/>
          <w:jc w:val="center"/>
        </w:trPr>
        <w:tc>
          <w:tcPr>
            <w:tcW w:w="1540" w:type="dxa"/>
            <w:vMerge w:val="continue"/>
            <w:tcBorders>
              <w:top w:val="nil"/>
              <w:left w:val="single" w:color="auto" w:sz="8" w:space="0"/>
              <w:bottom w:val="single" w:color="auto" w:sz="4" w:space="0"/>
              <w:right w:val="single" w:color="auto" w:sz="4" w:space="0"/>
            </w:tcBorders>
            <w:noWrap w:val="0"/>
            <w:vAlign w:val="center"/>
          </w:tcPr>
          <w:p>
            <w:pPr>
              <w:widowControl/>
              <w:jc w:val="left"/>
              <w:rPr>
                <w:rFonts w:hint="eastAsia" w:ascii="仿宋_GB2312" w:eastAsia="仿宋_GB2312"/>
                <w:kern w:val="0"/>
                <w:szCs w:val="21"/>
              </w:rPr>
            </w:pPr>
          </w:p>
        </w:tc>
        <w:tc>
          <w:tcPr>
            <w:tcW w:w="560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仿宋_GB2312" w:eastAsia="仿宋_GB2312"/>
                <w:kern w:val="0"/>
                <w:szCs w:val="21"/>
              </w:rPr>
            </w:pPr>
          </w:p>
        </w:tc>
        <w:tc>
          <w:tcPr>
            <w:tcW w:w="480" w:type="dxa"/>
            <w:tcBorders>
              <w:top w:val="nil"/>
              <w:left w:val="nil"/>
              <w:bottom w:val="single" w:color="auto" w:sz="4" w:space="0"/>
              <w:right w:val="single" w:color="auto" w:sz="4" w:space="0"/>
            </w:tcBorders>
            <w:noWrap w:val="0"/>
            <w:vAlign w:val="center"/>
          </w:tcPr>
          <w:p>
            <w:pPr>
              <w:widowControl/>
              <w:jc w:val="center"/>
              <w:rPr>
                <w:rFonts w:hint="eastAsia" w:ascii="仿宋_GB2312" w:eastAsia="仿宋_GB2312"/>
                <w:kern w:val="0"/>
                <w:szCs w:val="21"/>
              </w:rPr>
            </w:pPr>
            <w:r>
              <w:rPr>
                <w:rFonts w:hint="eastAsia" w:ascii="仿宋_GB2312" w:hAnsi="宋体" w:eastAsia="仿宋_GB2312"/>
                <w:kern w:val="0"/>
                <w:szCs w:val="21"/>
              </w:rPr>
              <w:t>中</w:t>
            </w:r>
          </w:p>
        </w:tc>
        <w:tc>
          <w:tcPr>
            <w:tcW w:w="936" w:type="dxa"/>
            <w:tcBorders>
              <w:top w:val="nil"/>
              <w:left w:val="nil"/>
              <w:bottom w:val="single" w:color="auto" w:sz="4" w:space="0"/>
              <w:right w:val="single" w:color="auto" w:sz="4" w:space="0"/>
            </w:tcBorders>
            <w:noWrap w:val="0"/>
            <w:vAlign w:val="center"/>
          </w:tcPr>
          <w:p>
            <w:pPr>
              <w:widowControl/>
              <w:jc w:val="center"/>
              <w:rPr>
                <w:rFonts w:hint="eastAsia" w:ascii="仿宋_GB2312" w:eastAsia="仿宋_GB2312"/>
                <w:kern w:val="0"/>
                <w:szCs w:val="21"/>
              </w:rPr>
            </w:pPr>
            <w:r>
              <w:rPr>
                <w:rFonts w:hint="eastAsia" w:ascii="仿宋_GB2312" w:eastAsia="仿宋_GB2312"/>
                <w:kern w:val="0"/>
                <w:szCs w:val="21"/>
              </w:rPr>
              <w:t>2-4</w:t>
            </w:r>
          </w:p>
        </w:tc>
        <w:tc>
          <w:tcPr>
            <w:tcW w:w="770" w:type="dxa"/>
            <w:vMerge w:val="continue"/>
            <w:tcBorders>
              <w:top w:val="nil"/>
              <w:left w:val="single" w:color="auto" w:sz="4" w:space="0"/>
              <w:bottom w:val="single" w:color="auto" w:sz="4" w:space="0"/>
              <w:right w:val="single" w:color="auto" w:sz="8" w:space="0"/>
            </w:tcBorders>
            <w:noWrap w:val="0"/>
            <w:vAlign w:val="center"/>
          </w:tcPr>
          <w:p>
            <w:pPr>
              <w:widowControl/>
              <w:jc w:val="left"/>
              <w:rPr>
                <w:rFonts w:hint="eastAsia" w:ascii="仿宋_GB2312" w:eastAsia="仿宋_GB2312"/>
                <w:kern w:val="0"/>
                <w:szCs w:val="21"/>
              </w:rPr>
            </w:pPr>
          </w:p>
        </w:tc>
      </w:tr>
      <w:tr>
        <w:tblPrEx>
          <w:tblCellMar>
            <w:top w:w="0" w:type="dxa"/>
            <w:left w:w="108" w:type="dxa"/>
            <w:bottom w:w="0" w:type="dxa"/>
            <w:right w:w="108" w:type="dxa"/>
          </w:tblCellMar>
        </w:tblPrEx>
        <w:trPr>
          <w:wBefore w:w="0" w:type="dxa"/>
          <w:wAfter w:w="0" w:type="dxa"/>
          <w:trHeight w:val="192" w:hRule="atLeast"/>
          <w:jc w:val="center"/>
        </w:trPr>
        <w:tc>
          <w:tcPr>
            <w:tcW w:w="1540" w:type="dxa"/>
            <w:vMerge w:val="continue"/>
            <w:tcBorders>
              <w:top w:val="nil"/>
              <w:left w:val="single" w:color="auto" w:sz="8" w:space="0"/>
              <w:bottom w:val="single" w:color="auto" w:sz="4" w:space="0"/>
              <w:right w:val="single" w:color="auto" w:sz="4" w:space="0"/>
            </w:tcBorders>
            <w:noWrap w:val="0"/>
            <w:vAlign w:val="center"/>
          </w:tcPr>
          <w:p>
            <w:pPr>
              <w:widowControl/>
              <w:jc w:val="left"/>
              <w:rPr>
                <w:rFonts w:hint="eastAsia" w:ascii="仿宋_GB2312" w:eastAsia="仿宋_GB2312"/>
                <w:kern w:val="0"/>
                <w:szCs w:val="21"/>
              </w:rPr>
            </w:pPr>
          </w:p>
        </w:tc>
        <w:tc>
          <w:tcPr>
            <w:tcW w:w="560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仿宋_GB2312" w:eastAsia="仿宋_GB2312"/>
                <w:kern w:val="0"/>
                <w:szCs w:val="21"/>
              </w:rPr>
            </w:pPr>
          </w:p>
        </w:tc>
        <w:tc>
          <w:tcPr>
            <w:tcW w:w="480" w:type="dxa"/>
            <w:tcBorders>
              <w:top w:val="nil"/>
              <w:left w:val="nil"/>
              <w:bottom w:val="single" w:color="auto" w:sz="4" w:space="0"/>
              <w:right w:val="single" w:color="auto" w:sz="4" w:space="0"/>
            </w:tcBorders>
            <w:noWrap w:val="0"/>
            <w:vAlign w:val="center"/>
          </w:tcPr>
          <w:p>
            <w:pPr>
              <w:widowControl/>
              <w:jc w:val="center"/>
              <w:rPr>
                <w:rFonts w:hint="eastAsia" w:ascii="仿宋_GB2312" w:eastAsia="仿宋_GB2312"/>
                <w:kern w:val="0"/>
                <w:szCs w:val="21"/>
              </w:rPr>
            </w:pPr>
            <w:r>
              <w:rPr>
                <w:rFonts w:hint="eastAsia" w:ascii="仿宋_GB2312" w:hAnsi="宋体" w:eastAsia="仿宋_GB2312"/>
                <w:kern w:val="0"/>
                <w:szCs w:val="21"/>
              </w:rPr>
              <w:t>差</w:t>
            </w:r>
          </w:p>
        </w:tc>
        <w:tc>
          <w:tcPr>
            <w:tcW w:w="936" w:type="dxa"/>
            <w:tcBorders>
              <w:top w:val="nil"/>
              <w:left w:val="nil"/>
              <w:bottom w:val="single" w:color="auto" w:sz="4" w:space="0"/>
              <w:right w:val="single" w:color="auto" w:sz="4" w:space="0"/>
            </w:tcBorders>
            <w:noWrap w:val="0"/>
            <w:vAlign w:val="center"/>
          </w:tcPr>
          <w:p>
            <w:pPr>
              <w:widowControl/>
              <w:jc w:val="center"/>
              <w:rPr>
                <w:rFonts w:hint="eastAsia" w:ascii="仿宋_GB2312" w:eastAsia="仿宋_GB2312"/>
                <w:kern w:val="0"/>
                <w:szCs w:val="21"/>
              </w:rPr>
            </w:pPr>
            <w:r>
              <w:rPr>
                <w:rFonts w:hint="eastAsia" w:ascii="仿宋_GB2312" w:eastAsia="仿宋_GB2312"/>
                <w:kern w:val="0"/>
                <w:szCs w:val="21"/>
              </w:rPr>
              <w:t>0-1</w:t>
            </w:r>
          </w:p>
        </w:tc>
        <w:tc>
          <w:tcPr>
            <w:tcW w:w="770" w:type="dxa"/>
            <w:vMerge w:val="continue"/>
            <w:tcBorders>
              <w:top w:val="nil"/>
              <w:left w:val="single" w:color="auto" w:sz="4" w:space="0"/>
              <w:bottom w:val="single" w:color="auto" w:sz="4" w:space="0"/>
              <w:right w:val="single" w:color="auto" w:sz="8" w:space="0"/>
            </w:tcBorders>
            <w:noWrap w:val="0"/>
            <w:vAlign w:val="center"/>
          </w:tcPr>
          <w:p>
            <w:pPr>
              <w:widowControl/>
              <w:jc w:val="left"/>
              <w:rPr>
                <w:rFonts w:hint="eastAsia" w:ascii="仿宋_GB2312" w:eastAsia="仿宋_GB2312"/>
                <w:kern w:val="0"/>
                <w:szCs w:val="21"/>
              </w:rPr>
            </w:pPr>
          </w:p>
        </w:tc>
      </w:tr>
      <w:tr>
        <w:tblPrEx>
          <w:tblCellMar>
            <w:top w:w="0" w:type="dxa"/>
            <w:left w:w="108" w:type="dxa"/>
            <w:bottom w:w="0" w:type="dxa"/>
            <w:right w:w="108" w:type="dxa"/>
          </w:tblCellMar>
        </w:tblPrEx>
        <w:trPr>
          <w:wBefore w:w="0" w:type="dxa"/>
          <w:wAfter w:w="0" w:type="dxa"/>
          <w:trHeight w:val="296" w:hRule="atLeast"/>
          <w:jc w:val="center"/>
        </w:trPr>
        <w:tc>
          <w:tcPr>
            <w:tcW w:w="1540" w:type="dxa"/>
            <w:vMerge w:val="restart"/>
            <w:tcBorders>
              <w:top w:val="nil"/>
              <w:left w:val="single" w:color="auto" w:sz="8" w:space="0"/>
              <w:bottom w:val="single" w:color="auto" w:sz="4" w:space="0"/>
              <w:right w:val="single" w:color="auto" w:sz="4" w:space="0"/>
            </w:tcBorders>
            <w:noWrap w:val="0"/>
            <w:vAlign w:val="center"/>
          </w:tcPr>
          <w:p>
            <w:pPr>
              <w:widowControl/>
              <w:jc w:val="center"/>
              <w:rPr>
                <w:rFonts w:hint="eastAsia" w:ascii="仿宋_GB2312" w:eastAsia="仿宋_GB2312"/>
                <w:kern w:val="0"/>
                <w:szCs w:val="21"/>
              </w:rPr>
            </w:pPr>
            <w:r>
              <w:rPr>
                <w:rFonts w:hint="eastAsia" w:ascii="仿宋_GB2312" w:hAnsi="宋体" w:eastAsia="仿宋_GB2312"/>
                <w:kern w:val="0"/>
                <w:szCs w:val="21"/>
              </w:rPr>
              <w:t>教学内容</w:t>
            </w:r>
          </w:p>
          <w:p>
            <w:pPr>
              <w:widowControl/>
              <w:jc w:val="center"/>
              <w:rPr>
                <w:rFonts w:hint="eastAsia" w:ascii="仿宋_GB2312" w:eastAsia="仿宋_GB2312"/>
                <w:kern w:val="0"/>
                <w:szCs w:val="21"/>
              </w:rPr>
            </w:pPr>
            <w:r>
              <w:rPr>
                <w:rFonts w:hint="eastAsia" w:ascii="仿宋_GB2312" w:hAnsi="宋体" w:eastAsia="仿宋_GB2312"/>
                <w:kern w:val="0"/>
                <w:szCs w:val="21"/>
              </w:rPr>
              <w:t>（</w:t>
            </w:r>
            <w:r>
              <w:rPr>
                <w:rFonts w:hint="eastAsia" w:ascii="仿宋_GB2312" w:eastAsia="仿宋_GB2312"/>
                <w:kern w:val="0"/>
                <w:szCs w:val="21"/>
              </w:rPr>
              <w:t>15</w:t>
            </w:r>
            <w:r>
              <w:rPr>
                <w:rFonts w:hint="eastAsia" w:ascii="仿宋_GB2312" w:hAnsi="宋体" w:eastAsia="仿宋_GB2312"/>
                <w:kern w:val="0"/>
                <w:szCs w:val="21"/>
              </w:rPr>
              <w:t>分）</w:t>
            </w:r>
          </w:p>
        </w:tc>
        <w:tc>
          <w:tcPr>
            <w:tcW w:w="5600" w:type="dxa"/>
            <w:vMerge w:val="restart"/>
            <w:tcBorders>
              <w:top w:val="nil"/>
              <w:left w:val="single" w:color="auto" w:sz="4" w:space="0"/>
              <w:bottom w:val="single" w:color="auto" w:sz="4" w:space="0"/>
              <w:right w:val="single" w:color="auto" w:sz="4" w:space="0"/>
            </w:tcBorders>
            <w:noWrap w:val="0"/>
            <w:vAlign w:val="center"/>
          </w:tcPr>
          <w:p>
            <w:pPr>
              <w:widowControl/>
              <w:jc w:val="left"/>
              <w:rPr>
                <w:rFonts w:hint="eastAsia" w:ascii="仿宋_GB2312" w:eastAsia="仿宋_GB2312"/>
                <w:kern w:val="0"/>
                <w:szCs w:val="21"/>
              </w:rPr>
            </w:pPr>
            <w:r>
              <w:rPr>
                <w:rFonts w:hint="eastAsia" w:ascii="仿宋_GB2312" w:eastAsia="仿宋_GB2312"/>
                <w:kern w:val="0"/>
                <w:szCs w:val="21"/>
              </w:rPr>
              <w:t>1</w:t>
            </w:r>
            <w:r>
              <w:rPr>
                <w:rFonts w:hint="eastAsia" w:ascii="仿宋_GB2312" w:hAnsi="宋体" w:eastAsia="仿宋_GB2312"/>
                <w:kern w:val="0"/>
                <w:szCs w:val="21"/>
              </w:rPr>
              <w:t>、教学内容充实，信息量恰当，能理论联系实际，并能介绍新知识，补充新内容；</w:t>
            </w:r>
            <w:r>
              <w:rPr>
                <w:rFonts w:hint="eastAsia" w:ascii="仿宋_GB2312" w:eastAsia="仿宋_GB2312"/>
                <w:kern w:val="0"/>
                <w:szCs w:val="21"/>
              </w:rPr>
              <w:t xml:space="preserve">                             2</w:t>
            </w:r>
            <w:r>
              <w:rPr>
                <w:rFonts w:hint="eastAsia" w:ascii="仿宋_GB2312" w:hAnsi="宋体" w:eastAsia="仿宋_GB2312"/>
                <w:kern w:val="0"/>
                <w:szCs w:val="21"/>
              </w:rPr>
              <w:t>、教学内容承前启后，循序渐进，能突出重点、剖析难点，讲授条理清晰、逻辑性强。</w:t>
            </w:r>
            <w:r>
              <w:rPr>
                <w:rFonts w:hint="eastAsia" w:ascii="仿宋_GB2312" w:eastAsia="仿宋_GB2312"/>
                <w:kern w:val="0"/>
                <w:szCs w:val="21"/>
              </w:rPr>
              <w:t xml:space="preserve">                    </w:t>
            </w:r>
          </w:p>
        </w:tc>
        <w:tc>
          <w:tcPr>
            <w:tcW w:w="480" w:type="dxa"/>
            <w:tcBorders>
              <w:top w:val="nil"/>
              <w:left w:val="nil"/>
              <w:bottom w:val="single" w:color="auto" w:sz="4" w:space="0"/>
              <w:right w:val="single" w:color="auto" w:sz="4" w:space="0"/>
            </w:tcBorders>
            <w:noWrap w:val="0"/>
            <w:vAlign w:val="center"/>
          </w:tcPr>
          <w:p>
            <w:pPr>
              <w:widowControl/>
              <w:jc w:val="center"/>
              <w:rPr>
                <w:rFonts w:hint="eastAsia" w:ascii="仿宋_GB2312" w:eastAsia="仿宋_GB2312"/>
                <w:kern w:val="0"/>
                <w:szCs w:val="21"/>
              </w:rPr>
            </w:pPr>
            <w:r>
              <w:rPr>
                <w:rFonts w:hint="eastAsia" w:ascii="仿宋_GB2312" w:hAnsi="宋体" w:eastAsia="仿宋_GB2312"/>
                <w:kern w:val="0"/>
                <w:szCs w:val="21"/>
              </w:rPr>
              <w:t>优</w:t>
            </w:r>
          </w:p>
        </w:tc>
        <w:tc>
          <w:tcPr>
            <w:tcW w:w="936" w:type="dxa"/>
            <w:tcBorders>
              <w:top w:val="nil"/>
              <w:left w:val="nil"/>
              <w:bottom w:val="single" w:color="auto" w:sz="4" w:space="0"/>
              <w:right w:val="single" w:color="auto" w:sz="4" w:space="0"/>
            </w:tcBorders>
            <w:noWrap w:val="0"/>
            <w:vAlign w:val="center"/>
          </w:tcPr>
          <w:p>
            <w:pPr>
              <w:widowControl/>
              <w:jc w:val="center"/>
              <w:rPr>
                <w:rFonts w:hint="eastAsia" w:ascii="仿宋_GB2312" w:eastAsia="仿宋_GB2312"/>
                <w:kern w:val="0"/>
                <w:szCs w:val="21"/>
              </w:rPr>
            </w:pPr>
            <w:r>
              <w:rPr>
                <w:rFonts w:hint="eastAsia" w:ascii="仿宋_GB2312" w:eastAsia="仿宋_GB2312"/>
                <w:kern w:val="0"/>
                <w:szCs w:val="21"/>
              </w:rPr>
              <w:t>13-15</w:t>
            </w:r>
          </w:p>
        </w:tc>
        <w:tc>
          <w:tcPr>
            <w:tcW w:w="770" w:type="dxa"/>
            <w:vMerge w:val="restart"/>
            <w:tcBorders>
              <w:top w:val="nil"/>
              <w:left w:val="single" w:color="auto" w:sz="4" w:space="0"/>
              <w:bottom w:val="single" w:color="auto" w:sz="4" w:space="0"/>
              <w:right w:val="single" w:color="auto" w:sz="8" w:space="0"/>
            </w:tcBorders>
            <w:noWrap w:val="0"/>
            <w:vAlign w:val="center"/>
          </w:tcPr>
          <w:p>
            <w:pPr>
              <w:widowControl/>
              <w:jc w:val="center"/>
              <w:rPr>
                <w:rFonts w:hint="eastAsia" w:ascii="仿宋_GB2312" w:eastAsia="仿宋_GB2312"/>
                <w:kern w:val="0"/>
                <w:szCs w:val="21"/>
              </w:rPr>
            </w:pPr>
            <w:r>
              <w:rPr>
                <w:rFonts w:hint="eastAsia" w:ascii="仿宋_GB2312" w:hAnsi="宋体" w:eastAsia="仿宋_GB2312"/>
                <w:kern w:val="0"/>
                <w:szCs w:val="21"/>
              </w:rPr>
              <w:t>　</w:t>
            </w:r>
          </w:p>
        </w:tc>
      </w:tr>
      <w:tr>
        <w:tblPrEx>
          <w:tblCellMar>
            <w:top w:w="0" w:type="dxa"/>
            <w:left w:w="108" w:type="dxa"/>
            <w:bottom w:w="0" w:type="dxa"/>
            <w:right w:w="108" w:type="dxa"/>
          </w:tblCellMar>
        </w:tblPrEx>
        <w:trPr>
          <w:wBefore w:w="0" w:type="dxa"/>
          <w:wAfter w:w="0" w:type="dxa"/>
          <w:trHeight w:val="286" w:hRule="atLeast"/>
          <w:jc w:val="center"/>
        </w:trPr>
        <w:tc>
          <w:tcPr>
            <w:tcW w:w="1540" w:type="dxa"/>
            <w:vMerge w:val="continue"/>
            <w:tcBorders>
              <w:top w:val="nil"/>
              <w:left w:val="single" w:color="auto" w:sz="8" w:space="0"/>
              <w:bottom w:val="single" w:color="auto" w:sz="4" w:space="0"/>
              <w:right w:val="single" w:color="auto" w:sz="4" w:space="0"/>
            </w:tcBorders>
            <w:noWrap w:val="0"/>
            <w:vAlign w:val="center"/>
          </w:tcPr>
          <w:p>
            <w:pPr>
              <w:widowControl/>
              <w:jc w:val="left"/>
              <w:rPr>
                <w:rFonts w:hint="eastAsia" w:ascii="仿宋_GB2312" w:eastAsia="仿宋_GB2312"/>
                <w:kern w:val="0"/>
                <w:szCs w:val="21"/>
              </w:rPr>
            </w:pPr>
          </w:p>
        </w:tc>
        <w:tc>
          <w:tcPr>
            <w:tcW w:w="560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仿宋_GB2312" w:eastAsia="仿宋_GB2312"/>
                <w:kern w:val="0"/>
                <w:szCs w:val="21"/>
              </w:rPr>
            </w:pPr>
          </w:p>
        </w:tc>
        <w:tc>
          <w:tcPr>
            <w:tcW w:w="480" w:type="dxa"/>
            <w:tcBorders>
              <w:top w:val="nil"/>
              <w:left w:val="nil"/>
              <w:bottom w:val="single" w:color="auto" w:sz="4" w:space="0"/>
              <w:right w:val="single" w:color="auto" w:sz="4" w:space="0"/>
            </w:tcBorders>
            <w:noWrap w:val="0"/>
            <w:vAlign w:val="center"/>
          </w:tcPr>
          <w:p>
            <w:pPr>
              <w:widowControl/>
              <w:jc w:val="center"/>
              <w:rPr>
                <w:rFonts w:hint="eastAsia" w:ascii="仿宋_GB2312" w:eastAsia="仿宋_GB2312"/>
                <w:kern w:val="0"/>
                <w:szCs w:val="21"/>
              </w:rPr>
            </w:pPr>
            <w:r>
              <w:rPr>
                <w:rFonts w:hint="eastAsia" w:ascii="仿宋_GB2312" w:hAnsi="宋体" w:eastAsia="仿宋_GB2312"/>
                <w:kern w:val="0"/>
                <w:szCs w:val="21"/>
              </w:rPr>
              <w:t>良</w:t>
            </w:r>
          </w:p>
        </w:tc>
        <w:tc>
          <w:tcPr>
            <w:tcW w:w="936" w:type="dxa"/>
            <w:tcBorders>
              <w:top w:val="nil"/>
              <w:left w:val="nil"/>
              <w:bottom w:val="single" w:color="auto" w:sz="4" w:space="0"/>
              <w:right w:val="single" w:color="auto" w:sz="4" w:space="0"/>
            </w:tcBorders>
            <w:noWrap w:val="0"/>
            <w:vAlign w:val="center"/>
          </w:tcPr>
          <w:p>
            <w:pPr>
              <w:widowControl/>
              <w:jc w:val="center"/>
              <w:rPr>
                <w:rFonts w:hint="eastAsia" w:ascii="仿宋_GB2312" w:eastAsia="仿宋_GB2312"/>
                <w:kern w:val="0"/>
                <w:szCs w:val="21"/>
              </w:rPr>
            </w:pPr>
            <w:r>
              <w:rPr>
                <w:rFonts w:hint="eastAsia" w:ascii="仿宋_GB2312" w:eastAsia="仿宋_GB2312"/>
                <w:kern w:val="0"/>
                <w:szCs w:val="21"/>
              </w:rPr>
              <w:t>10-12</w:t>
            </w:r>
          </w:p>
        </w:tc>
        <w:tc>
          <w:tcPr>
            <w:tcW w:w="770" w:type="dxa"/>
            <w:vMerge w:val="continue"/>
            <w:tcBorders>
              <w:top w:val="nil"/>
              <w:left w:val="single" w:color="auto" w:sz="4" w:space="0"/>
              <w:bottom w:val="single" w:color="auto" w:sz="4" w:space="0"/>
              <w:right w:val="single" w:color="auto" w:sz="8" w:space="0"/>
            </w:tcBorders>
            <w:noWrap w:val="0"/>
            <w:vAlign w:val="center"/>
          </w:tcPr>
          <w:p>
            <w:pPr>
              <w:widowControl/>
              <w:jc w:val="left"/>
              <w:rPr>
                <w:rFonts w:hint="eastAsia" w:ascii="仿宋_GB2312" w:eastAsia="仿宋_GB2312"/>
                <w:kern w:val="0"/>
                <w:szCs w:val="21"/>
              </w:rPr>
            </w:pPr>
          </w:p>
        </w:tc>
      </w:tr>
      <w:tr>
        <w:tblPrEx>
          <w:tblCellMar>
            <w:top w:w="0" w:type="dxa"/>
            <w:left w:w="108" w:type="dxa"/>
            <w:bottom w:w="0" w:type="dxa"/>
            <w:right w:w="108" w:type="dxa"/>
          </w:tblCellMar>
        </w:tblPrEx>
        <w:trPr>
          <w:wBefore w:w="0" w:type="dxa"/>
          <w:wAfter w:w="0" w:type="dxa"/>
          <w:trHeight w:val="276" w:hRule="atLeast"/>
          <w:jc w:val="center"/>
        </w:trPr>
        <w:tc>
          <w:tcPr>
            <w:tcW w:w="1540" w:type="dxa"/>
            <w:vMerge w:val="continue"/>
            <w:tcBorders>
              <w:top w:val="nil"/>
              <w:left w:val="single" w:color="auto" w:sz="8" w:space="0"/>
              <w:bottom w:val="single" w:color="auto" w:sz="4" w:space="0"/>
              <w:right w:val="single" w:color="auto" w:sz="4" w:space="0"/>
            </w:tcBorders>
            <w:noWrap w:val="0"/>
            <w:vAlign w:val="center"/>
          </w:tcPr>
          <w:p>
            <w:pPr>
              <w:widowControl/>
              <w:jc w:val="left"/>
              <w:rPr>
                <w:rFonts w:hint="eastAsia" w:ascii="仿宋_GB2312" w:eastAsia="仿宋_GB2312"/>
                <w:kern w:val="0"/>
                <w:szCs w:val="21"/>
              </w:rPr>
            </w:pPr>
          </w:p>
        </w:tc>
        <w:tc>
          <w:tcPr>
            <w:tcW w:w="560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仿宋_GB2312" w:eastAsia="仿宋_GB2312"/>
                <w:kern w:val="0"/>
                <w:szCs w:val="21"/>
              </w:rPr>
            </w:pPr>
          </w:p>
        </w:tc>
        <w:tc>
          <w:tcPr>
            <w:tcW w:w="480" w:type="dxa"/>
            <w:tcBorders>
              <w:top w:val="nil"/>
              <w:left w:val="nil"/>
              <w:bottom w:val="single" w:color="auto" w:sz="4" w:space="0"/>
              <w:right w:val="single" w:color="auto" w:sz="4" w:space="0"/>
            </w:tcBorders>
            <w:noWrap w:val="0"/>
            <w:vAlign w:val="center"/>
          </w:tcPr>
          <w:p>
            <w:pPr>
              <w:widowControl/>
              <w:jc w:val="center"/>
              <w:rPr>
                <w:rFonts w:hint="eastAsia" w:ascii="仿宋_GB2312" w:eastAsia="仿宋_GB2312"/>
                <w:kern w:val="0"/>
                <w:szCs w:val="21"/>
              </w:rPr>
            </w:pPr>
            <w:r>
              <w:rPr>
                <w:rFonts w:hint="eastAsia" w:ascii="仿宋_GB2312" w:hAnsi="宋体" w:eastAsia="仿宋_GB2312"/>
                <w:kern w:val="0"/>
                <w:szCs w:val="21"/>
              </w:rPr>
              <w:t>中</w:t>
            </w:r>
          </w:p>
        </w:tc>
        <w:tc>
          <w:tcPr>
            <w:tcW w:w="936" w:type="dxa"/>
            <w:tcBorders>
              <w:top w:val="nil"/>
              <w:left w:val="nil"/>
              <w:bottom w:val="single" w:color="auto" w:sz="4" w:space="0"/>
              <w:right w:val="single" w:color="auto" w:sz="4" w:space="0"/>
            </w:tcBorders>
            <w:noWrap w:val="0"/>
            <w:vAlign w:val="center"/>
          </w:tcPr>
          <w:p>
            <w:pPr>
              <w:widowControl/>
              <w:jc w:val="center"/>
              <w:rPr>
                <w:rFonts w:hint="eastAsia" w:ascii="仿宋_GB2312" w:eastAsia="仿宋_GB2312"/>
                <w:kern w:val="0"/>
                <w:szCs w:val="21"/>
              </w:rPr>
            </w:pPr>
            <w:r>
              <w:rPr>
                <w:rFonts w:hint="eastAsia" w:ascii="仿宋_GB2312" w:eastAsia="仿宋_GB2312"/>
                <w:kern w:val="0"/>
                <w:szCs w:val="21"/>
              </w:rPr>
              <w:t>7-9</w:t>
            </w:r>
          </w:p>
        </w:tc>
        <w:tc>
          <w:tcPr>
            <w:tcW w:w="770" w:type="dxa"/>
            <w:vMerge w:val="continue"/>
            <w:tcBorders>
              <w:top w:val="nil"/>
              <w:left w:val="single" w:color="auto" w:sz="4" w:space="0"/>
              <w:bottom w:val="single" w:color="auto" w:sz="4" w:space="0"/>
              <w:right w:val="single" w:color="auto" w:sz="8" w:space="0"/>
            </w:tcBorders>
            <w:noWrap w:val="0"/>
            <w:vAlign w:val="center"/>
          </w:tcPr>
          <w:p>
            <w:pPr>
              <w:widowControl/>
              <w:jc w:val="left"/>
              <w:rPr>
                <w:rFonts w:hint="eastAsia" w:ascii="仿宋_GB2312" w:eastAsia="仿宋_GB2312"/>
                <w:kern w:val="0"/>
                <w:szCs w:val="21"/>
              </w:rPr>
            </w:pPr>
          </w:p>
        </w:tc>
      </w:tr>
      <w:tr>
        <w:tblPrEx>
          <w:tblCellMar>
            <w:top w:w="0" w:type="dxa"/>
            <w:left w:w="108" w:type="dxa"/>
            <w:bottom w:w="0" w:type="dxa"/>
            <w:right w:w="108" w:type="dxa"/>
          </w:tblCellMar>
        </w:tblPrEx>
        <w:trPr>
          <w:wBefore w:w="0" w:type="dxa"/>
          <w:wAfter w:w="0" w:type="dxa"/>
          <w:trHeight w:val="409" w:hRule="atLeast"/>
          <w:jc w:val="center"/>
        </w:trPr>
        <w:tc>
          <w:tcPr>
            <w:tcW w:w="1540" w:type="dxa"/>
            <w:vMerge w:val="continue"/>
            <w:tcBorders>
              <w:top w:val="nil"/>
              <w:left w:val="single" w:color="auto" w:sz="8" w:space="0"/>
              <w:bottom w:val="single" w:color="auto" w:sz="4" w:space="0"/>
              <w:right w:val="single" w:color="auto" w:sz="4" w:space="0"/>
            </w:tcBorders>
            <w:noWrap w:val="0"/>
            <w:vAlign w:val="center"/>
          </w:tcPr>
          <w:p>
            <w:pPr>
              <w:widowControl/>
              <w:jc w:val="left"/>
              <w:rPr>
                <w:rFonts w:hint="eastAsia" w:ascii="仿宋_GB2312" w:eastAsia="仿宋_GB2312"/>
                <w:kern w:val="0"/>
                <w:szCs w:val="21"/>
              </w:rPr>
            </w:pPr>
          </w:p>
        </w:tc>
        <w:tc>
          <w:tcPr>
            <w:tcW w:w="560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仿宋_GB2312" w:eastAsia="仿宋_GB2312"/>
                <w:kern w:val="0"/>
                <w:szCs w:val="21"/>
              </w:rPr>
            </w:pPr>
          </w:p>
        </w:tc>
        <w:tc>
          <w:tcPr>
            <w:tcW w:w="480" w:type="dxa"/>
            <w:tcBorders>
              <w:top w:val="nil"/>
              <w:left w:val="nil"/>
              <w:bottom w:val="single" w:color="auto" w:sz="4" w:space="0"/>
              <w:right w:val="single" w:color="auto" w:sz="4" w:space="0"/>
            </w:tcBorders>
            <w:noWrap w:val="0"/>
            <w:vAlign w:val="center"/>
          </w:tcPr>
          <w:p>
            <w:pPr>
              <w:widowControl/>
              <w:jc w:val="center"/>
              <w:rPr>
                <w:rFonts w:hint="eastAsia" w:ascii="仿宋_GB2312" w:eastAsia="仿宋_GB2312"/>
                <w:kern w:val="0"/>
                <w:szCs w:val="21"/>
              </w:rPr>
            </w:pPr>
            <w:r>
              <w:rPr>
                <w:rFonts w:hint="eastAsia" w:ascii="仿宋_GB2312" w:hAnsi="宋体" w:eastAsia="仿宋_GB2312"/>
                <w:kern w:val="0"/>
                <w:szCs w:val="21"/>
              </w:rPr>
              <w:t>差</w:t>
            </w:r>
          </w:p>
        </w:tc>
        <w:tc>
          <w:tcPr>
            <w:tcW w:w="936" w:type="dxa"/>
            <w:tcBorders>
              <w:top w:val="nil"/>
              <w:left w:val="nil"/>
              <w:bottom w:val="single" w:color="auto" w:sz="4" w:space="0"/>
              <w:right w:val="single" w:color="auto" w:sz="4" w:space="0"/>
            </w:tcBorders>
            <w:noWrap w:val="0"/>
            <w:vAlign w:val="center"/>
          </w:tcPr>
          <w:p>
            <w:pPr>
              <w:widowControl/>
              <w:jc w:val="center"/>
              <w:rPr>
                <w:rFonts w:hint="eastAsia" w:ascii="仿宋_GB2312" w:eastAsia="仿宋_GB2312"/>
                <w:kern w:val="0"/>
                <w:szCs w:val="21"/>
              </w:rPr>
            </w:pPr>
            <w:r>
              <w:rPr>
                <w:rFonts w:hint="eastAsia" w:ascii="仿宋_GB2312" w:eastAsia="仿宋_GB2312"/>
                <w:kern w:val="0"/>
                <w:szCs w:val="21"/>
              </w:rPr>
              <w:t>0-6</w:t>
            </w:r>
          </w:p>
        </w:tc>
        <w:tc>
          <w:tcPr>
            <w:tcW w:w="770" w:type="dxa"/>
            <w:vMerge w:val="continue"/>
            <w:tcBorders>
              <w:top w:val="nil"/>
              <w:left w:val="single" w:color="auto" w:sz="4" w:space="0"/>
              <w:bottom w:val="single" w:color="auto" w:sz="4" w:space="0"/>
              <w:right w:val="single" w:color="auto" w:sz="8" w:space="0"/>
            </w:tcBorders>
            <w:noWrap w:val="0"/>
            <w:vAlign w:val="center"/>
          </w:tcPr>
          <w:p>
            <w:pPr>
              <w:widowControl/>
              <w:jc w:val="left"/>
              <w:rPr>
                <w:rFonts w:hint="eastAsia" w:ascii="仿宋_GB2312" w:eastAsia="仿宋_GB2312"/>
                <w:kern w:val="0"/>
                <w:szCs w:val="21"/>
              </w:rPr>
            </w:pPr>
          </w:p>
        </w:tc>
      </w:tr>
      <w:tr>
        <w:tblPrEx>
          <w:tblCellMar>
            <w:top w:w="0" w:type="dxa"/>
            <w:left w:w="108" w:type="dxa"/>
            <w:bottom w:w="0" w:type="dxa"/>
            <w:right w:w="108" w:type="dxa"/>
          </w:tblCellMar>
        </w:tblPrEx>
        <w:trPr>
          <w:wBefore w:w="0" w:type="dxa"/>
          <w:wAfter w:w="0" w:type="dxa"/>
          <w:trHeight w:val="667" w:hRule="atLeast"/>
          <w:jc w:val="center"/>
        </w:trPr>
        <w:tc>
          <w:tcPr>
            <w:tcW w:w="1540" w:type="dxa"/>
            <w:vMerge w:val="restart"/>
            <w:tcBorders>
              <w:top w:val="nil"/>
              <w:left w:val="single" w:color="auto" w:sz="8" w:space="0"/>
              <w:right w:val="single" w:color="auto" w:sz="4" w:space="0"/>
            </w:tcBorders>
            <w:noWrap w:val="0"/>
            <w:vAlign w:val="center"/>
          </w:tcPr>
          <w:p>
            <w:pPr>
              <w:widowControl/>
              <w:jc w:val="center"/>
              <w:rPr>
                <w:rFonts w:hint="eastAsia" w:ascii="仿宋_GB2312" w:eastAsia="仿宋_GB2312"/>
                <w:kern w:val="0"/>
                <w:szCs w:val="21"/>
              </w:rPr>
            </w:pPr>
            <w:r>
              <w:rPr>
                <w:rFonts w:hint="eastAsia" w:ascii="仿宋_GB2312" w:hAnsi="宋体" w:eastAsia="仿宋_GB2312"/>
                <w:kern w:val="0"/>
                <w:szCs w:val="21"/>
              </w:rPr>
              <w:t>教学方法</w:t>
            </w:r>
          </w:p>
          <w:p>
            <w:pPr>
              <w:widowControl/>
              <w:jc w:val="center"/>
              <w:rPr>
                <w:rFonts w:hint="eastAsia" w:ascii="仿宋_GB2312" w:eastAsia="仿宋_GB2312"/>
                <w:kern w:val="0"/>
                <w:szCs w:val="21"/>
              </w:rPr>
            </w:pPr>
            <w:r>
              <w:rPr>
                <w:rFonts w:hint="eastAsia" w:ascii="仿宋_GB2312" w:hAnsi="宋体" w:eastAsia="仿宋_GB2312"/>
                <w:kern w:val="0"/>
                <w:szCs w:val="21"/>
              </w:rPr>
              <w:t>（</w:t>
            </w:r>
            <w:r>
              <w:rPr>
                <w:rFonts w:hint="eastAsia" w:ascii="仿宋_GB2312" w:eastAsia="仿宋_GB2312"/>
                <w:kern w:val="0"/>
                <w:szCs w:val="21"/>
              </w:rPr>
              <w:t>25</w:t>
            </w:r>
            <w:r>
              <w:rPr>
                <w:rFonts w:hint="eastAsia" w:ascii="仿宋_GB2312" w:hAnsi="宋体" w:eastAsia="仿宋_GB2312"/>
                <w:kern w:val="0"/>
                <w:szCs w:val="21"/>
              </w:rPr>
              <w:t>分）</w:t>
            </w:r>
          </w:p>
        </w:tc>
        <w:tc>
          <w:tcPr>
            <w:tcW w:w="5600" w:type="dxa"/>
            <w:vMerge w:val="restart"/>
            <w:tcBorders>
              <w:top w:val="nil"/>
              <w:left w:val="single" w:color="auto" w:sz="4" w:space="0"/>
              <w:bottom w:val="single" w:color="auto" w:sz="4" w:space="0"/>
              <w:right w:val="single" w:color="auto" w:sz="4" w:space="0"/>
            </w:tcBorders>
            <w:noWrap w:val="0"/>
            <w:vAlign w:val="center"/>
          </w:tcPr>
          <w:p>
            <w:pPr>
              <w:widowControl/>
              <w:jc w:val="left"/>
              <w:rPr>
                <w:rFonts w:hint="eastAsia" w:ascii="仿宋_GB2312" w:eastAsia="仿宋_GB2312"/>
                <w:kern w:val="0"/>
                <w:szCs w:val="21"/>
              </w:rPr>
            </w:pPr>
            <w:r>
              <w:rPr>
                <w:rFonts w:hint="eastAsia" w:ascii="仿宋_GB2312" w:eastAsia="仿宋_GB2312"/>
                <w:kern w:val="0"/>
                <w:szCs w:val="21"/>
              </w:rPr>
              <w:t>1</w:t>
            </w:r>
            <w:r>
              <w:rPr>
                <w:rFonts w:hint="eastAsia" w:ascii="仿宋_GB2312" w:hAnsi="宋体" w:eastAsia="仿宋_GB2312"/>
                <w:kern w:val="0"/>
                <w:szCs w:val="21"/>
              </w:rPr>
              <w:t>、使用的方法符合课程特点，注重启发式和互动式教学，能考虑学生接受程度；</w:t>
            </w:r>
            <w:r>
              <w:rPr>
                <w:rFonts w:hint="eastAsia" w:ascii="仿宋_GB2312" w:eastAsia="仿宋_GB2312"/>
                <w:kern w:val="0"/>
                <w:szCs w:val="21"/>
              </w:rPr>
              <w:t xml:space="preserve">                     2</w:t>
            </w:r>
            <w:r>
              <w:rPr>
                <w:rFonts w:hint="eastAsia" w:ascii="仿宋_GB2312" w:hAnsi="宋体" w:eastAsia="仿宋_GB2312"/>
                <w:kern w:val="0"/>
                <w:szCs w:val="21"/>
              </w:rPr>
              <w:t>、传统教学：板书整洁、布局合理、无错别字和非规范字符；能合理使用教学辅助用具；</w:t>
            </w:r>
            <w:r>
              <w:rPr>
                <w:rFonts w:hint="eastAsia" w:ascii="仿宋_GB2312" w:eastAsia="仿宋_GB2312"/>
                <w:kern w:val="0"/>
                <w:szCs w:val="21"/>
              </w:rPr>
              <w:t xml:space="preserve">               3</w:t>
            </w:r>
            <w:r>
              <w:rPr>
                <w:rFonts w:hint="eastAsia" w:ascii="仿宋_GB2312" w:hAnsi="宋体" w:eastAsia="仿宋_GB2312"/>
                <w:kern w:val="0"/>
                <w:szCs w:val="21"/>
              </w:rPr>
              <w:t>、多媒体教学：多媒体课件制作精良，能合理利用计算机进行多媒体教学、体现多媒体教学的优越性，如信息量大、增强学习的趣味和可理解性等，对提高教学效果作用明显。</w:t>
            </w:r>
          </w:p>
        </w:tc>
        <w:tc>
          <w:tcPr>
            <w:tcW w:w="480" w:type="dxa"/>
            <w:tcBorders>
              <w:top w:val="nil"/>
              <w:left w:val="nil"/>
              <w:bottom w:val="single" w:color="auto" w:sz="4" w:space="0"/>
              <w:right w:val="single" w:color="auto" w:sz="4" w:space="0"/>
            </w:tcBorders>
            <w:noWrap w:val="0"/>
            <w:vAlign w:val="center"/>
          </w:tcPr>
          <w:p>
            <w:pPr>
              <w:widowControl/>
              <w:jc w:val="center"/>
              <w:rPr>
                <w:rFonts w:hint="eastAsia" w:ascii="仿宋_GB2312" w:eastAsia="仿宋_GB2312"/>
                <w:kern w:val="0"/>
                <w:szCs w:val="21"/>
              </w:rPr>
            </w:pPr>
            <w:r>
              <w:rPr>
                <w:rFonts w:hint="eastAsia" w:ascii="仿宋_GB2312" w:hAnsi="宋体" w:eastAsia="仿宋_GB2312"/>
                <w:kern w:val="0"/>
                <w:szCs w:val="21"/>
              </w:rPr>
              <w:t>优</w:t>
            </w:r>
          </w:p>
        </w:tc>
        <w:tc>
          <w:tcPr>
            <w:tcW w:w="936" w:type="dxa"/>
            <w:tcBorders>
              <w:top w:val="nil"/>
              <w:left w:val="nil"/>
              <w:bottom w:val="single" w:color="auto" w:sz="4" w:space="0"/>
              <w:right w:val="single" w:color="auto" w:sz="4" w:space="0"/>
            </w:tcBorders>
            <w:noWrap w:val="0"/>
            <w:vAlign w:val="center"/>
          </w:tcPr>
          <w:p>
            <w:pPr>
              <w:widowControl/>
              <w:jc w:val="center"/>
              <w:rPr>
                <w:rFonts w:hint="eastAsia" w:ascii="仿宋_GB2312" w:eastAsia="仿宋_GB2312"/>
                <w:kern w:val="0"/>
                <w:szCs w:val="21"/>
              </w:rPr>
            </w:pPr>
            <w:r>
              <w:rPr>
                <w:rFonts w:hint="eastAsia" w:ascii="仿宋_GB2312" w:eastAsia="仿宋_GB2312"/>
                <w:kern w:val="0"/>
                <w:szCs w:val="21"/>
              </w:rPr>
              <w:t>13-15</w:t>
            </w:r>
          </w:p>
        </w:tc>
        <w:tc>
          <w:tcPr>
            <w:tcW w:w="770" w:type="dxa"/>
            <w:vMerge w:val="restart"/>
            <w:tcBorders>
              <w:top w:val="nil"/>
              <w:left w:val="single" w:color="auto" w:sz="4" w:space="0"/>
              <w:bottom w:val="single" w:color="auto" w:sz="4" w:space="0"/>
              <w:right w:val="single" w:color="auto" w:sz="8" w:space="0"/>
            </w:tcBorders>
            <w:noWrap w:val="0"/>
            <w:vAlign w:val="center"/>
          </w:tcPr>
          <w:p>
            <w:pPr>
              <w:widowControl/>
              <w:jc w:val="center"/>
              <w:rPr>
                <w:rFonts w:hint="eastAsia" w:ascii="仿宋_GB2312" w:eastAsia="仿宋_GB2312"/>
                <w:kern w:val="0"/>
                <w:szCs w:val="21"/>
              </w:rPr>
            </w:pPr>
            <w:r>
              <w:rPr>
                <w:rFonts w:hint="eastAsia" w:ascii="仿宋_GB2312" w:hAnsi="宋体" w:eastAsia="仿宋_GB2312"/>
                <w:kern w:val="0"/>
                <w:szCs w:val="21"/>
              </w:rPr>
              <w:t>　</w:t>
            </w:r>
          </w:p>
        </w:tc>
      </w:tr>
      <w:tr>
        <w:tblPrEx>
          <w:tblCellMar>
            <w:top w:w="0" w:type="dxa"/>
            <w:left w:w="108" w:type="dxa"/>
            <w:bottom w:w="0" w:type="dxa"/>
            <w:right w:w="108" w:type="dxa"/>
          </w:tblCellMar>
        </w:tblPrEx>
        <w:trPr>
          <w:wBefore w:w="0" w:type="dxa"/>
          <w:wAfter w:w="0" w:type="dxa"/>
          <w:trHeight w:val="703" w:hRule="atLeast"/>
          <w:jc w:val="center"/>
        </w:trPr>
        <w:tc>
          <w:tcPr>
            <w:tcW w:w="1540" w:type="dxa"/>
            <w:vMerge w:val="continue"/>
            <w:tcBorders>
              <w:left w:val="single" w:color="auto" w:sz="8" w:space="0"/>
              <w:right w:val="single" w:color="auto" w:sz="4" w:space="0"/>
            </w:tcBorders>
            <w:noWrap w:val="0"/>
            <w:vAlign w:val="center"/>
          </w:tcPr>
          <w:p>
            <w:pPr>
              <w:widowControl/>
              <w:jc w:val="left"/>
              <w:rPr>
                <w:rFonts w:hint="eastAsia" w:ascii="仿宋_GB2312" w:eastAsia="仿宋_GB2312"/>
                <w:kern w:val="0"/>
                <w:szCs w:val="21"/>
              </w:rPr>
            </w:pPr>
          </w:p>
        </w:tc>
        <w:tc>
          <w:tcPr>
            <w:tcW w:w="560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仿宋_GB2312" w:eastAsia="仿宋_GB2312"/>
                <w:kern w:val="0"/>
                <w:szCs w:val="21"/>
              </w:rPr>
            </w:pPr>
          </w:p>
        </w:tc>
        <w:tc>
          <w:tcPr>
            <w:tcW w:w="480" w:type="dxa"/>
            <w:tcBorders>
              <w:top w:val="nil"/>
              <w:left w:val="nil"/>
              <w:bottom w:val="single" w:color="auto" w:sz="4" w:space="0"/>
              <w:right w:val="single" w:color="auto" w:sz="4" w:space="0"/>
            </w:tcBorders>
            <w:noWrap w:val="0"/>
            <w:vAlign w:val="center"/>
          </w:tcPr>
          <w:p>
            <w:pPr>
              <w:widowControl/>
              <w:jc w:val="center"/>
              <w:rPr>
                <w:rFonts w:hint="eastAsia" w:ascii="仿宋_GB2312" w:eastAsia="仿宋_GB2312"/>
                <w:kern w:val="0"/>
                <w:szCs w:val="21"/>
              </w:rPr>
            </w:pPr>
            <w:r>
              <w:rPr>
                <w:rFonts w:hint="eastAsia" w:ascii="仿宋_GB2312" w:hAnsi="宋体" w:eastAsia="仿宋_GB2312"/>
                <w:kern w:val="0"/>
                <w:szCs w:val="21"/>
              </w:rPr>
              <w:t>良</w:t>
            </w:r>
          </w:p>
        </w:tc>
        <w:tc>
          <w:tcPr>
            <w:tcW w:w="936" w:type="dxa"/>
            <w:tcBorders>
              <w:top w:val="nil"/>
              <w:left w:val="nil"/>
              <w:bottom w:val="single" w:color="auto" w:sz="4" w:space="0"/>
              <w:right w:val="single" w:color="auto" w:sz="4" w:space="0"/>
            </w:tcBorders>
            <w:noWrap w:val="0"/>
            <w:vAlign w:val="center"/>
          </w:tcPr>
          <w:p>
            <w:pPr>
              <w:widowControl/>
              <w:jc w:val="center"/>
              <w:rPr>
                <w:rFonts w:hint="eastAsia" w:ascii="仿宋_GB2312" w:eastAsia="仿宋_GB2312"/>
                <w:kern w:val="0"/>
                <w:szCs w:val="21"/>
              </w:rPr>
            </w:pPr>
            <w:r>
              <w:rPr>
                <w:rFonts w:hint="eastAsia" w:ascii="仿宋_GB2312" w:eastAsia="仿宋_GB2312"/>
                <w:kern w:val="0"/>
                <w:szCs w:val="21"/>
              </w:rPr>
              <w:t>10-12</w:t>
            </w:r>
          </w:p>
        </w:tc>
        <w:tc>
          <w:tcPr>
            <w:tcW w:w="770" w:type="dxa"/>
            <w:vMerge w:val="continue"/>
            <w:tcBorders>
              <w:top w:val="nil"/>
              <w:left w:val="single" w:color="auto" w:sz="4" w:space="0"/>
              <w:bottom w:val="single" w:color="auto" w:sz="4" w:space="0"/>
              <w:right w:val="single" w:color="auto" w:sz="8" w:space="0"/>
            </w:tcBorders>
            <w:noWrap w:val="0"/>
            <w:vAlign w:val="center"/>
          </w:tcPr>
          <w:p>
            <w:pPr>
              <w:widowControl/>
              <w:jc w:val="left"/>
              <w:rPr>
                <w:rFonts w:hint="eastAsia" w:ascii="仿宋_GB2312" w:eastAsia="仿宋_GB2312"/>
                <w:kern w:val="0"/>
                <w:szCs w:val="21"/>
              </w:rPr>
            </w:pPr>
          </w:p>
        </w:tc>
      </w:tr>
      <w:tr>
        <w:tblPrEx>
          <w:tblCellMar>
            <w:top w:w="0" w:type="dxa"/>
            <w:left w:w="108" w:type="dxa"/>
            <w:bottom w:w="0" w:type="dxa"/>
            <w:right w:w="108" w:type="dxa"/>
          </w:tblCellMar>
        </w:tblPrEx>
        <w:trPr>
          <w:wBefore w:w="0" w:type="dxa"/>
          <w:wAfter w:w="0" w:type="dxa"/>
          <w:trHeight w:val="599" w:hRule="atLeast"/>
          <w:jc w:val="center"/>
        </w:trPr>
        <w:tc>
          <w:tcPr>
            <w:tcW w:w="1540" w:type="dxa"/>
            <w:vMerge w:val="continue"/>
            <w:tcBorders>
              <w:left w:val="single" w:color="auto" w:sz="8" w:space="0"/>
              <w:right w:val="single" w:color="auto" w:sz="4" w:space="0"/>
            </w:tcBorders>
            <w:noWrap w:val="0"/>
            <w:vAlign w:val="center"/>
          </w:tcPr>
          <w:p>
            <w:pPr>
              <w:widowControl/>
              <w:jc w:val="left"/>
              <w:rPr>
                <w:rFonts w:hint="eastAsia" w:ascii="仿宋_GB2312" w:eastAsia="仿宋_GB2312"/>
                <w:kern w:val="0"/>
                <w:szCs w:val="21"/>
              </w:rPr>
            </w:pPr>
          </w:p>
        </w:tc>
        <w:tc>
          <w:tcPr>
            <w:tcW w:w="560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仿宋_GB2312" w:eastAsia="仿宋_GB2312"/>
                <w:kern w:val="0"/>
                <w:szCs w:val="21"/>
              </w:rPr>
            </w:pPr>
          </w:p>
        </w:tc>
        <w:tc>
          <w:tcPr>
            <w:tcW w:w="480" w:type="dxa"/>
            <w:tcBorders>
              <w:top w:val="nil"/>
              <w:left w:val="nil"/>
              <w:bottom w:val="single" w:color="auto" w:sz="4" w:space="0"/>
              <w:right w:val="single" w:color="auto" w:sz="4" w:space="0"/>
            </w:tcBorders>
            <w:noWrap w:val="0"/>
            <w:vAlign w:val="center"/>
          </w:tcPr>
          <w:p>
            <w:pPr>
              <w:widowControl/>
              <w:jc w:val="center"/>
              <w:rPr>
                <w:rFonts w:hint="eastAsia" w:ascii="仿宋_GB2312" w:eastAsia="仿宋_GB2312"/>
                <w:kern w:val="0"/>
                <w:szCs w:val="21"/>
              </w:rPr>
            </w:pPr>
            <w:r>
              <w:rPr>
                <w:rFonts w:hint="eastAsia" w:ascii="仿宋_GB2312" w:hAnsi="宋体" w:eastAsia="仿宋_GB2312"/>
                <w:kern w:val="0"/>
                <w:szCs w:val="21"/>
              </w:rPr>
              <w:t>中</w:t>
            </w:r>
          </w:p>
        </w:tc>
        <w:tc>
          <w:tcPr>
            <w:tcW w:w="936" w:type="dxa"/>
            <w:tcBorders>
              <w:top w:val="nil"/>
              <w:left w:val="nil"/>
              <w:bottom w:val="single" w:color="auto" w:sz="4" w:space="0"/>
              <w:right w:val="single" w:color="auto" w:sz="4" w:space="0"/>
            </w:tcBorders>
            <w:noWrap w:val="0"/>
            <w:vAlign w:val="center"/>
          </w:tcPr>
          <w:p>
            <w:pPr>
              <w:widowControl/>
              <w:jc w:val="center"/>
              <w:rPr>
                <w:rFonts w:hint="eastAsia" w:ascii="仿宋_GB2312" w:eastAsia="仿宋_GB2312"/>
                <w:kern w:val="0"/>
                <w:szCs w:val="21"/>
              </w:rPr>
            </w:pPr>
            <w:r>
              <w:rPr>
                <w:rFonts w:hint="eastAsia" w:ascii="仿宋_GB2312" w:eastAsia="仿宋_GB2312"/>
                <w:kern w:val="0"/>
                <w:szCs w:val="21"/>
              </w:rPr>
              <w:t>7-9</w:t>
            </w:r>
          </w:p>
        </w:tc>
        <w:tc>
          <w:tcPr>
            <w:tcW w:w="770" w:type="dxa"/>
            <w:vMerge w:val="continue"/>
            <w:tcBorders>
              <w:top w:val="nil"/>
              <w:left w:val="single" w:color="auto" w:sz="4" w:space="0"/>
              <w:bottom w:val="single" w:color="auto" w:sz="4" w:space="0"/>
              <w:right w:val="single" w:color="auto" w:sz="8" w:space="0"/>
            </w:tcBorders>
            <w:noWrap w:val="0"/>
            <w:vAlign w:val="center"/>
          </w:tcPr>
          <w:p>
            <w:pPr>
              <w:widowControl/>
              <w:jc w:val="left"/>
              <w:rPr>
                <w:rFonts w:hint="eastAsia" w:ascii="仿宋_GB2312" w:eastAsia="仿宋_GB2312"/>
                <w:kern w:val="0"/>
                <w:szCs w:val="21"/>
              </w:rPr>
            </w:pPr>
          </w:p>
        </w:tc>
      </w:tr>
      <w:tr>
        <w:tblPrEx>
          <w:tblCellMar>
            <w:top w:w="0" w:type="dxa"/>
            <w:left w:w="108" w:type="dxa"/>
            <w:bottom w:w="0" w:type="dxa"/>
            <w:right w:w="108" w:type="dxa"/>
          </w:tblCellMar>
        </w:tblPrEx>
        <w:trPr>
          <w:wBefore w:w="0" w:type="dxa"/>
          <w:wAfter w:w="0" w:type="dxa"/>
          <w:trHeight w:val="510" w:hRule="atLeast"/>
          <w:jc w:val="center"/>
        </w:trPr>
        <w:tc>
          <w:tcPr>
            <w:tcW w:w="1540" w:type="dxa"/>
            <w:vMerge w:val="continue"/>
            <w:tcBorders>
              <w:left w:val="single" w:color="auto" w:sz="8" w:space="0"/>
              <w:right w:val="single" w:color="auto" w:sz="4" w:space="0"/>
            </w:tcBorders>
            <w:noWrap w:val="0"/>
            <w:vAlign w:val="center"/>
          </w:tcPr>
          <w:p>
            <w:pPr>
              <w:widowControl/>
              <w:jc w:val="left"/>
              <w:rPr>
                <w:rFonts w:hint="eastAsia" w:ascii="仿宋_GB2312" w:eastAsia="仿宋_GB2312"/>
                <w:kern w:val="0"/>
                <w:szCs w:val="21"/>
              </w:rPr>
            </w:pPr>
          </w:p>
        </w:tc>
        <w:tc>
          <w:tcPr>
            <w:tcW w:w="560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仿宋_GB2312" w:eastAsia="仿宋_GB2312"/>
                <w:kern w:val="0"/>
                <w:szCs w:val="21"/>
              </w:rPr>
            </w:pPr>
          </w:p>
        </w:tc>
        <w:tc>
          <w:tcPr>
            <w:tcW w:w="480" w:type="dxa"/>
            <w:tcBorders>
              <w:top w:val="nil"/>
              <w:left w:val="nil"/>
              <w:bottom w:val="single" w:color="auto" w:sz="4" w:space="0"/>
              <w:right w:val="single" w:color="auto" w:sz="4" w:space="0"/>
            </w:tcBorders>
            <w:noWrap w:val="0"/>
            <w:vAlign w:val="center"/>
          </w:tcPr>
          <w:p>
            <w:pPr>
              <w:widowControl/>
              <w:jc w:val="center"/>
              <w:rPr>
                <w:rFonts w:hint="eastAsia" w:ascii="仿宋_GB2312" w:eastAsia="仿宋_GB2312"/>
                <w:kern w:val="0"/>
                <w:szCs w:val="21"/>
              </w:rPr>
            </w:pPr>
            <w:r>
              <w:rPr>
                <w:rFonts w:hint="eastAsia" w:ascii="仿宋_GB2312" w:hAnsi="宋体" w:eastAsia="仿宋_GB2312"/>
                <w:kern w:val="0"/>
                <w:szCs w:val="21"/>
              </w:rPr>
              <w:t>差</w:t>
            </w:r>
          </w:p>
        </w:tc>
        <w:tc>
          <w:tcPr>
            <w:tcW w:w="936" w:type="dxa"/>
            <w:tcBorders>
              <w:top w:val="nil"/>
              <w:left w:val="nil"/>
              <w:bottom w:val="single" w:color="auto" w:sz="4" w:space="0"/>
              <w:right w:val="single" w:color="auto" w:sz="4" w:space="0"/>
            </w:tcBorders>
            <w:noWrap w:val="0"/>
            <w:vAlign w:val="center"/>
          </w:tcPr>
          <w:p>
            <w:pPr>
              <w:widowControl/>
              <w:jc w:val="center"/>
              <w:rPr>
                <w:rFonts w:hint="eastAsia" w:ascii="仿宋_GB2312" w:eastAsia="仿宋_GB2312"/>
                <w:kern w:val="0"/>
                <w:szCs w:val="21"/>
              </w:rPr>
            </w:pPr>
            <w:r>
              <w:rPr>
                <w:rFonts w:hint="eastAsia" w:ascii="仿宋_GB2312" w:eastAsia="仿宋_GB2312"/>
                <w:kern w:val="0"/>
                <w:szCs w:val="21"/>
              </w:rPr>
              <w:t>0-6</w:t>
            </w:r>
          </w:p>
        </w:tc>
        <w:tc>
          <w:tcPr>
            <w:tcW w:w="770" w:type="dxa"/>
            <w:vMerge w:val="continue"/>
            <w:tcBorders>
              <w:top w:val="nil"/>
              <w:left w:val="single" w:color="auto" w:sz="4" w:space="0"/>
              <w:bottom w:val="single" w:color="auto" w:sz="4" w:space="0"/>
              <w:right w:val="single" w:color="auto" w:sz="8" w:space="0"/>
            </w:tcBorders>
            <w:noWrap w:val="0"/>
            <w:vAlign w:val="center"/>
          </w:tcPr>
          <w:p>
            <w:pPr>
              <w:widowControl/>
              <w:jc w:val="left"/>
              <w:rPr>
                <w:rFonts w:hint="eastAsia" w:ascii="仿宋_GB2312" w:eastAsia="仿宋_GB2312"/>
                <w:kern w:val="0"/>
                <w:szCs w:val="21"/>
              </w:rPr>
            </w:pPr>
          </w:p>
        </w:tc>
      </w:tr>
      <w:tr>
        <w:tblPrEx>
          <w:tblCellMar>
            <w:top w:w="0" w:type="dxa"/>
            <w:left w:w="108" w:type="dxa"/>
            <w:bottom w:w="0" w:type="dxa"/>
            <w:right w:w="108" w:type="dxa"/>
          </w:tblCellMar>
        </w:tblPrEx>
        <w:trPr>
          <w:wBefore w:w="0" w:type="dxa"/>
          <w:wAfter w:w="0" w:type="dxa"/>
          <w:trHeight w:val="294" w:hRule="atLeast"/>
          <w:jc w:val="center"/>
        </w:trPr>
        <w:tc>
          <w:tcPr>
            <w:tcW w:w="1540" w:type="dxa"/>
            <w:vMerge w:val="continue"/>
            <w:tcBorders>
              <w:left w:val="single" w:color="auto" w:sz="8" w:space="0"/>
              <w:right w:val="single" w:color="auto" w:sz="4" w:space="0"/>
            </w:tcBorders>
            <w:noWrap w:val="0"/>
            <w:vAlign w:val="center"/>
          </w:tcPr>
          <w:p>
            <w:pPr>
              <w:widowControl/>
              <w:jc w:val="left"/>
              <w:rPr>
                <w:rFonts w:hint="eastAsia" w:ascii="仿宋_GB2312" w:eastAsia="仿宋_GB2312"/>
                <w:kern w:val="0"/>
                <w:szCs w:val="21"/>
              </w:rPr>
            </w:pPr>
          </w:p>
        </w:tc>
        <w:tc>
          <w:tcPr>
            <w:tcW w:w="5600" w:type="dxa"/>
            <w:vMerge w:val="restart"/>
            <w:tcBorders>
              <w:top w:val="nil"/>
              <w:left w:val="single" w:color="auto" w:sz="4" w:space="0"/>
              <w:right w:val="single" w:color="auto" w:sz="4" w:space="0"/>
            </w:tcBorders>
            <w:noWrap w:val="0"/>
            <w:vAlign w:val="center"/>
          </w:tcPr>
          <w:p>
            <w:pPr>
              <w:widowControl/>
              <w:jc w:val="left"/>
              <w:rPr>
                <w:rFonts w:hint="eastAsia" w:ascii="仿宋_GB2312" w:eastAsia="仿宋_GB2312"/>
                <w:kern w:val="0"/>
                <w:szCs w:val="21"/>
              </w:rPr>
            </w:pPr>
            <w:r>
              <w:rPr>
                <w:rFonts w:hint="eastAsia" w:ascii="仿宋_GB2312" w:hAnsi="宋体" w:eastAsia="仿宋_GB2312"/>
                <w:kern w:val="0"/>
                <w:szCs w:val="21"/>
              </w:rPr>
              <w:t>注重教学模式改革与创新：</w:t>
            </w:r>
          </w:p>
          <w:p>
            <w:pPr>
              <w:widowControl/>
              <w:jc w:val="left"/>
              <w:rPr>
                <w:rFonts w:hint="eastAsia" w:ascii="仿宋_GB2312" w:eastAsia="仿宋_GB2312"/>
                <w:kern w:val="0"/>
                <w:szCs w:val="21"/>
              </w:rPr>
            </w:pPr>
            <w:r>
              <w:rPr>
                <w:rFonts w:hint="eastAsia" w:ascii="仿宋_GB2312" w:eastAsia="仿宋_GB2312"/>
                <w:kern w:val="0"/>
                <w:szCs w:val="21"/>
              </w:rPr>
              <w:t>1</w:t>
            </w:r>
            <w:r>
              <w:rPr>
                <w:rFonts w:hint="eastAsia" w:ascii="仿宋_GB2312" w:hAnsi="宋体" w:eastAsia="仿宋_GB2312"/>
                <w:kern w:val="0"/>
                <w:szCs w:val="21"/>
              </w:rPr>
              <w:t>、教学模式新颖，能充分发挥学生的主观能动性；</w:t>
            </w:r>
            <w:r>
              <w:rPr>
                <w:rFonts w:hint="eastAsia" w:ascii="仿宋_GB2312" w:eastAsia="仿宋_GB2312"/>
                <w:kern w:val="0"/>
                <w:szCs w:val="21"/>
              </w:rPr>
              <w:t xml:space="preserve">                     2</w:t>
            </w:r>
            <w:r>
              <w:rPr>
                <w:rFonts w:hint="eastAsia" w:ascii="仿宋_GB2312" w:hAnsi="宋体" w:eastAsia="仿宋_GB2312"/>
                <w:kern w:val="0"/>
                <w:szCs w:val="21"/>
              </w:rPr>
              <w:t>、因材施教</w:t>
            </w:r>
            <w:r>
              <w:rPr>
                <w:rFonts w:hint="eastAsia" w:ascii="仿宋_GB2312" w:eastAsia="仿宋_GB2312"/>
                <w:kern w:val="0"/>
                <w:szCs w:val="21"/>
              </w:rPr>
              <w:t>,</w:t>
            </w:r>
            <w:r>
              <w:rPr>
                <w:rFonts w:hint="eastAsia" w:ascii="仿宋_GB2312" w:hAnsi="宋体" w:eastAsia="仿宋_GB2312"/>
                <w:kern w:val="0"/>
                <w:szCs w:val="21"/>
              </w:rPr>
              <w:t>依景激情</w:t>
            </w:r>
            <w:r>
              <w:rPr>
                <w:rFonts w:hint="eastAsia" w:ascii="仿宋_GB2312" w:eastAsia="仿宋_GB2312"/>
                <w:kern w:val="0"/>
                <w:szCs w:val="21"/>
              </w:rPr>
              <w:t>,</w:t>
            </w:r>
            <w:r>
              <w:rPr>
                <w:rFonts w:hint="eastAsia" w:ascii="仿宋_GB2312" w:hAnsi="宋体" w:eastAsia="仿宋_GB2312"/>
                <w:kern w:val="0"/>
                <w:szCs w:val="21"/>
              </w:rPr>
              <w:t>重视学生创新能力的培养。</w:t>
            </w:r>
          </w:p>
          <w:p>
            <w:pPr>
              <w:widowControl/>
              <w:jc w:val="left"/>
              <w:rPr>
                <w:rFonts w:hint="eastAsia" w:ascii="仿宋_GB2312" w:eastAsia="仿宋_GB2312"/>
                <w:kern w:val="0"/>
                <w:szCs w:val="21"/>
              </w:rPr>
            </w:pPr>
          </w:p>
        </w:tc>
        <w:tc>
          <w:tcPr>
            <w:tcW w:w="480" w:type="dxa"/>
            <w:tcBorders>
              <w:top w:val="nil"/>
              <w:left w:val="nil"/>
              <w:bottom w:val="single" w:color="auto" w:sz="4" w:space="0"/>
              <w:right w:val="single" w:color="auto" w:sz="4" w:space="0"/>
            </w:tcBorders>
            <w:noWrap w:val="0"/>
            <w:vAlign w:val="center"/>
          </w:tcPr>
          <w:p>
            <w:pPr>
              <w:widowControl/>
              <w:jc w:val="center"/>
              <w:rPr>
                <w:rFonts w:hint="eastAsia" w:ascii="仿宋_GB2312" w:eastAsia="仿宋_GB2312"/>
                <w:kern w:val="0"/>
                <w:szCs w:val="21"/>
              </w:rPr>
            </w:pPr>
            <w:r>
              <w:rPr>
                <w:rFonts w:hint="eastAsia" w:ascii="仿宋_GB2312" w:hAnsi="宋体" w:eastAsia="仿宋_GB2312"/>
                <w:kern w:val="0"/>
                <w:szCs w:val="21"/>
              </w:rPr>
              <w:t>优</w:t>
            </w:r>
          </w:p>
        </w:tc>
        <w:tc>
          <w:tcPr>
            <w:tcW w:w="936" w:type="dxa"/>
            <w:tcBorders>
              <w:top w:val="nil"/>
              <w:left w:val="nil"/>
              <w:bottom w:val="single" w:color="auto" w:sz="4" w:space="0"/>
              <w:right w:val="single" w:color="auto" w:sz="4" w:space="0"/>
            </w:tcBorders>
            <w:noWrap w:val="0"/>
            <w:vAlign w:val="center"/>
          </w:tcPr>
          <w:p>
            <w:pPr>
              <w:widowControl/>
              <w:jc w:val="center"/>
              <w:rPr>
                <w:rFonts w:hint="eastAsia" w:ascii="仿宋_GB2312" w:eastAsia="仿宋_GB2312"/>
                <w:kern w:val="0"/>
                <w:szCs w:val="21"/>
              </w:rPr>
            </w:pPr>
            <w:r>
              <w:rPr>
                <w:rFonts w:hint="eastAsia" w:ascii="仿宋_GB2312" w:eastAsia="仿宋_GB2312"/>
                <w:kern w:val="0"/>
                <w:szCs w:val="21"/>
              </w:rPr>
              <w:t>8-10</w:t>
            </w:r>
          </w:p>
        </w:tc>
        <w:tc>
          <w:tcPr>
            <w:tcW w:w="770" w:type="dxa"/>
            <w:vMerge w:val="restart"/>
            <w:tcBorders>
              <w:top w:val="nil"/>
              <w:left w:val="single" w:color="auto" w:sz="4" w:space="0"/>
              <w:right w:val="single" w:color="auto" w:sz="8" w:space="0"/>
            </w:tcBorders>
            <w:noWrap w:val="0"/>
            <w:vAlign w:val="center"/>
          </w:tcPr>
          <w:p>
            <w:pPr>
              <w:widowControl/>
              <w:jc w:val="left"/>
              <w:rPr>
                <w:rFonts w:hint="eastAsia" w:ascii="仿宋_GB2312" w:eastAsia="仿宋_GB2312"/>
                <w:kern w:val="0"/>
                <w:szCs w:val="21"/>
              </w:rPr>
            </w:pPr>
          </w:p>
        </w:tc>
      </w:tr>
      <w:tr>
        <w:tblPrEx>
          <w:tblCellMar>
            <w:top w:w="0" w:type="dxa"/>
            <w:left w:w="108" w:type="dxa"/>
            <w:bottom w:w="0" w:type="dxa"/>
            <w:right w:w="108" w:type="dxa"/>
          </w:tblCellMar>
        </w:tblPrEx>
        <w:trPr>
          <w:wBefore w:w="0" w:type="dxa"/>
          <w:wAfter w:w="0" w:type="dxa"/>
          <w:trHeight w:val="300" w:hRule="atLeast"/>
          <w:jc w:val="center"/>
        </w:trPr>
        <w:tc>
          <w:tcPr>
            <w:tcW w:w="1540" w:type="dxa"/>
            <w:vMerge w:val="continue"/>
            <w:tcBorders>
              <w:left w:val="single" w:color="auto" w:sz="8" w:space="0"/>
              <w:right w:val="single" w:color="auto" w:sz="4" w:space="0"/>
            </w:tcBorders>
            <w:noWrap w:val="0"/>
            <w:vAlign w:val="center"/>
          </w:tcPr>
          <w:p>
            <w:pPr>
              <w:widowControl/>
              <w:jc w:val="left"/>
              <w:rPr>
                <w:rFonts w:hint="eastAsia" w:ascii="仿宋_GB2312" w:eastAsia="仿宋_GB2312"/>
                <w:kern w:val="0"/>
                <w:szCs w:val="21"/>
              </w:rPr>
            </w:pPr>
          </w:p>
        </w:tc>
        <w:tc>
          <w:tcPr>
            <w:tcW w:w="5600" w:type="dxa"/>
            <w:vMerge w:val="continue"/>
            <w:tcBorders>
              <w:left w:val="single" w:color="auto" w:sz="4" w:space="0"/>
              <w:right w:val="single" w:color="auto" w:sz="4" w:space="0"/>
            </w:tcBorders>
            <w:noWrap w:val="0"/>
            <w:vAlign w:val="center"/>
          </w:tcPr>
          <w:p>
            <w:pPr>
              <w:widowControl/>
              <w:jc w:val="left"/>
              <w:rPr>
                <w:rFonts w:hint="eastAsia" w:ascii="仿宋_GB2312" w:eastAsia="仿宋_GB2312"/>
                <w:kern w:val="0"/>
                <w:szCs w:val="21"/>
              </w:rPr>
            </w:pPr>
          </w:p>
        </w:tc>
        <w:tc>
          <w:tcPr>
            <w:tcW w:w="480" w:type="dxa"/>
            <w:tcBorders>
              <w:top w:val="nil"/>
              <w:left w:val="nil"/>
              <w:bottom w:val="single" w:color="auto" w:sz="4" w:space="0"/>
              <w:right w:val="single" w:color="auto" w:sz="4" w:space="0"/>
            </w:tcBorders>
            <w:noWrap w:val="0"/>
            <w:vAlign w:val="center"/>
          </w:tcPr>
          <w:p>
            <w:pPr>
              <w:widowControl/>
              <w:jc w:val="center"/>
              <w:rPr>
                <w:rFonts w:hint="eastAsia" w:ascii="仿宋_GB2312" w:eastAsia="仿宋_GB2312"/>
                <w:kern w:val="0"/>
                <w:szCs w:val="21"/>
              </w:rPr>
            </w:pPr>
            <w:r>
              <w:rPr>
                <w:rFonts w:hint="eastAsia" w:ascii="仿宋_GB2312" w:hAnsi="宋体" w:eastAsia="仿宋_GB2312"/>
                <w:kern w:val="0"/>
                <w:szCs w:val="21"/>
              </w:rPr>
              <w:t>良</w:t>
            </w:r>
          </w:p>
        </w:tc>
        <w:tc>
          <w:tcPr>
            <w:tcW w:w="936" w:type="dxa"/>
            <w:tcBorders>
              <w:top w:val="nil"/>
              <w:left w:val="nil"/>
              <w:bottom w:val="single" w:color="auto" w:sz="4" w:space="0"/>
              <w:right w:val="single" w:color="auto" w:sz="4" w:space="0"/>
            </w:tcBorders>
            <w:noWrap w:val="0"/>
            <w:vAlign w:val="center"/>
          </w:tcPr>
          <w:p>
            <w:pPr>
              <w:widowControl/>
              <w:jc w:val="center"/>
              <w:rPr>
                <w:rFonts w:hint="eastAsia" w:ascii="仿宋_GB2312" w:eastAsia="仿宋_GB2312"/>
                <w:kern w:val="0"/>
                <w:szCs w:val="21"/>
              </w:rPr>
            </w:pPr>
            <w:r>
              <w:rPr>
                <w:rFonts w:hint="eastAsia" w:ascii="仿宋_GB2312" w:eastAsia="仿宋_GB2312"/>
                <w:kern w:val="0"/>
                <w:szCs w:val="21"/>
              </w:rPr>
              <w:t>5-7</w:t>
            </w:r>
          </w:p>
        </w:tc>
        <w:tc>
          <w:tcPr>
            <w:tcW w:w="770" w:type="dxa"/>
            <w:vMerge w:val="continue"/>
            <w:tcBorders>
              <w:left w:val="single" w:color="auto" w:sz="4" w:space="0"/>
              <w:right w:val="single" w:color="auto" w:sz="8" w:space="0"/>
            </w:tcBorders>
            <w:noWrap w:val="0"/>
            <w:vAlign w:val="center"/>
          </w:tcPr>
          <w:p>
            <w:pPr>
              <w:widowControl/>
              <w:jc w:val="left"/>
              <w:rPr>
                <w:rFonts w:hint="eastAsia" w:ascii="仿宋_GB2312" w:eastAsia="仿宋_GB2312"/>
                <w:kern w:val="0"/>
                <w:szCs w:val="21"/>
              </w:rPr>
            </w:pPr>
          </w:p>
        </w:tc>
      </w:tr>
      <w:tr>
        <w:tblPrEx>
          <w:tblCellMar>
            <w:top w:w="0" w:type="dxa"/>
            <w:left w:w="108" w:type="dxa"/>
            <w:bottom w:w="0" w:type="dxa"/>
            <w:right w:w="108" w:type="dxa"/>
          </w:tblCellMar>
        </w:tblPrEx>
        <w:trPr>
          <w:wBefore w:w="0" w:type="dxa"/>
          <w:wAfter w:w="0" w:type="dxa"/>
          <w:trHeight w:val="291" w:hRule="atLeast"/>
          <w:jc w:val="center"/>
        </w:trPr>
        <w:tc>
          <w:tcPr>
            <w:tcW w:w="1540" w:type="dxa"/>
            <w:vMerge w:val="continue"/>
            <w:tcBorders>
              <w:left w:val="single" w:color="auto" w:sz="8" w:space="0"/>
              <w:right w:val="single" w:color="auto" w:sz="4" w:space="0"/>
            </w:tcBorders>
            <w:noWrap w:val="0"/>
            <w:vAlign w:val="center"/>
          </w:tcPr>
          <w:p>
            <w:pPr>
              <w:widowControl/>
              <w:jc w:val="left"/>
              <w:rPr>
                <w:rFonts w:hint="eastAsia" w:ascii="仿宋_GB2312" w:eastAsia="仿宋_GB2312"/>
                <w:kern w:val="0"/>
                <w:szCs w:val="21"/>
              </w:rPr>
            </w:pPr>
          </w:p>
        </w:tc>
        <w:tc>
          <w:tcPr>
            <w:tcW w:w="5600" w:type="dxa"/>
            <w:vMerge w:val="continue"/>
            <w:tcBorders>
              <w:left w:val="single" w:color="auto" w:sz="4" w:space="0"/>
              <w:right w:val="single" w:color="auto" w:sz="4" w:space="0"/>
            </w:tcBorders>
            <w:noWrap w:val="0"/>
            <w:vAlign w:val="center"/>
          </w:tcPr>
          <w:p>
            <w:pPr>
              <w:widowControl/>
              <w:jc w:val="left"/>
              <w:rPr>
                <w:rFonts w:hint="eastAsia" w:ascii="仿宋_GB2312" w:eastAsia="仿宋_GB2312"/>
                <w:kern w:val="0"/>
                <w:szCs w:val="21"/>
              </w:rPr>
            </w:pPr>
          </w:p>
        </w:tc>
        <w:tc>
          <w:tcPr>
            <w:tcW w:w="480" w:type="dxa"/>
            <w:tcBorders>
              <w:top w:val="nil"/>
              <w:left w:val="nil"/>
              <w:bottom w:val="single" w:color="auto" w:sz="4" w:space="0"/>
              <w:right w:val="single" w:color="auto" w:sz="4" w:space="0"/>
            </w:tcBorders>
            <w:noWrap w:val="0"/>
            <w:vAlign w:val="center"/>
          </w:tcPr>
          <w:p>
            <w:pPr>
              <w:widowControl/>
              <w:jc w:val="center"/>
              <w:rPr>
                <w:rFonts w:hint="eastAsia" w:ascii="仿宋_GB2312" w:eastAsia="仿宋_GB2312"/>
                <w:kern w:val="0"/>
                <w:szCs w:val="21"/>
              </w:rPr>
            </w:pPr>
            <w:r>
              <w:rPr>
                <w:rFonts w:hint="eastAsia" w:ascii="仿宋_GB2312" w:hAnsi="宋体" w:eastAsia="仿宋_GB2312"/>
                <w:kern w:val="0"/>
                <w:szCs w:val="21"/>
              </w:rPr>
              <w:t>中</w:t>
            </w:r>
          </w:p>
        </w:tc>
        <w:tc>
          <w:tcPr>
            <w:tcW w:w="936" w:type="dxa"/>
            <w:tcBorders>
              <w:top w:val="nil"/>
              <w:left w:val="nil"/>
              <w:bottom w:val="single" w:color="auto" w:sz="4" w:space="0"/>
              <w:right w:val="single" w:color="auto" w:sz="4" w:space="0"/>
            </w:tcBorders>
            <w:noWrap w:val="0"/>
            <w:vAlign w:val="center"/>
          </w:tcPr>
          <w:p>
            <w:pPr>
              <w:widowControl/>
              <w:jc w:val="center"/>
              <w:rPr>
                <w:rFonts w:hint="eastAsia" w:ascii="仿宋_GB2312" w:eastAsia="仿宋_GB2312"/>
                <w:kern w:val="0"/>
                <w:szCs w:val="21"/>
              </w:rPr>
            </w:pPr>
            <w:r>
              <w:rPr>
                <w:rFonts w:hint="eastAsia" w:ascii="仿宋_GB2312" w:eastAsia="仿宋_GB2312"/>
                <w:kern w:val="0"/>
                <w:szCs w:val="21"/>
              </w:rPr>
              <w:t>2-4</w:t>
            </w:r>
          </w:p>
        </w:tc>
        <w:tc>
          <w:tcPr>
            <w:tcW w:w="770" w:type="dxa"/>
            <w:vMerge w:val="continue"/>
            <w:tcBorders>
              <w:left w:val="single" w:color="auto" w:sz="4" w:space="0"/>
              <w:right w:val="single" w:color="auto" w:sz="8" w:space="0"/>
            </w:tcBorders>
            <w:noWrap w:val="0"/>
            <w:vAlign w:val="center"/>
          </w:tcPr>
          <w:p>
            <w:pPr>
              <w:widowControl/>
              <w:jc w:val="left"/>
              <w:rPr>
                <w:rFonts w:hint="eastAsia" w:ascii="仿宋_GB2312" w:eastAsia="仿宋_GB2312"/>
                <w:kern w:val="0"/>
                <w:szCs w:val="21"/>
              </w:rPr>
            </w:pPr>
          </w:p>
        </w:tc>
      </w:tr>
      <w:tr>
        <w:tblPrEx>
          <w:tblCellMar>
            <w:top w:w="0" w:type="dxa"/>
            <w:left w:w="108" w:type="dxa"/>
            <w:bottom w:w="0" w:type="dxa"/>
            <w:right w:w="108" w:type="dxa"/>
          </w:tblCellMar>
        </w:tblPrEx>
        <w:trPr>
          <w:wBefore w:w="0" w:type="dxa"/>
          <w:wAfter w:w="0" w:type="dxa"/>
          <w:trHeight w:val="280" w:hRule="atLeast"/>
          <w:jc w:val="center"/>
        </w:trPr>
        <w:tc>
          <w:tcPr>
            <w:tcW w:w="1540" w:type="dxa"/>
            <w:vMerge w:val="continue"/>
            <w:tcBorders>
              <w:left w:val="single" w:color="auto" w:sz="8" w:space="0"/>
              <w:bottom w:val="single" w:color="auto" w:sz="4" w:space="0"/>
              <w:right w:val="single" w:color="auto" w:sz="4" w:space="0"/>
            </w:tcBorders>
            <w:noWrap w:val="0"/>
            <w:vAlign w:val="center"/>
          </w:tcPr>
          <w:p>
            <w:pPr>
              <w:widowControl/>
              <w:jc w:val="left"/>
              <w:rPr>
                <w:rFonts w:hint="eastAsia" w:ascii="仿宋_GB2312" w:eastAsia="仿宋_GB2312"/>
                <w:kern w:val="0"/>
                <w:szCs w:val="21"/>
              </w:rPr>
            </w:pPr>
          </w:p>
        </w:tc>
        <w:tc>
          <w:tcPr>
            <w:tcW w:w="5600" w:type="dxa"/>
            <w:vMerge w:val="continue"/>
            <w:tcBorders>
              <w:left w:val="single" w:color="auto" w:sz="4" w:space="0"/>
              <w:bottom w:val="single" w:color="auto" w:sz="4" w:space="0"/>
              <w:right w:val="single" w:color="auto" w:sz="4" w:space="0"/>
            </w:tcBorders>
            <w:noWrap w:val="0"/>
            <w:vAlign w:val="center"/>
          </w:tcPr>
          <w:p>
            <w:pPr>
              <w:widowControl/>
              <w:jc w:val="left"/>
              <w:rPr>
                <w:rFonts w:hint="eastAsia" w:ascii="仿宋_GB2312" w:eastAsia="仿宋_GB2312"/>
                <w:kern w:val="0"/>
                <w:szCs w:val="21"/>
              </w:rPr>
            </w:pPr>
          </w:p>
        </w:tc>
        <w:tc>
          <w:tcPr>
            <w:tcW w:w="480" w:type="dxa"/>
            <w:tcBorders>
              <w:top w:val="nil"/>
              <w:left w:val="nil"/>
              <w:bottom w:val="single" w:color="auto" w:sz="4" w:space="0"/>
              <w:right w:val="single" w:color="auto" w:sz="4" w:space="0"/>
            </w:tcBorders>
            <w:noWrap w:val="0"/>
            <w:vAlign w:val="center"/>
          </w:tcPr>
          <w:p>
            <w:pPr>
              <w:widowControl/>
              <w:jc w:val="center"/>
              <w:rPr>
                <w:rFonts w:hint="eastAsia" w:ascii="仿宋_GB2312" w:eastAsia="仿宋_GB2312"/>
                <w:kern w:val="0"/>
                <w:szCs w:val="21"/>
              </w:rPr>
            </w:pPr>
            <w:r>
              <w:rPr>
                <w:rFonts w:hint="eastAsia" w:ascii="仿宋_GB2312" w:hAnsi="宋体" w:eastAsia="仿宋_GB2312"/>
                <w:kern w:val="0"/>
                <w:szCs w:val="21"/>
              </w:rPr>
              <w:t>差</w:t>
            </w:r>
          </w:p>
        </w:tc>
        <w:tc>
          <w:tcPr>
            <w:tcW w:w="936" w:type="dxa"/>
            <w:tcBorders>
              <w:top w:val="nil"/>
              <w:left w:val="nil"/>
              <w:bottom w:val="single" w:color="auto" w:sz="4" w:space="0"/>
              <w:right w:val="single" w:color="auto" w:sz="4" w:space="0"/>
            </w:tcBorders>
            <w:noWrap w:val="0"/>
            <w:vAlign w:val="center"/>
          </w:tcPr>
          <w:p>
            <w:pPr>
              <w:widowControl/>
              <w:jc w:val="center"/>
              <w:rPr>
                <w:rFonts w:hint="eastAsia" w:ascii="仿宋_GB2312" w:eastAsia="仿宋_GB2312"/>
                <w:kern w:val="0"/>
                <w:szCs w:val="21"/>
              </w:rPr>
            </w:pPr>
            <w:r>
              <w:rPr>
                <w:rFonts w:hint="eastAsia" w:ascii="仿宋_GB2312" w:eastAsia="仿宋_GB2312"/>
                <w:kern w:val="0"/>
                <w:szCs w:val="21"/>
              </w:rPr>
              <w:t>0-1</w:t>
            </w:r>
          </w:p>
        </w:tc>
        <w:tc>
          <w:tcPr>
            <w:tcW w:w="770" w:type="dxa"/>
            <w:vMerge w:val="continue"/>
            <w:tcBorders>
              <w:left w:val="single" w:color="auto" w:sz="4" w:space="0"/>
              <w:bottom w:val="single" w:color="auto" w:sz="4" w:space="0"/>
              <w:right w:val="single" w:color="auto" w:sz="8" w:space="0"/>
            </w:tcBorders>
            <w:noWrap w:val="0"/>
            <w:vAlign w:val="center"/>
          </w:tcPr>
          <w:p>
            <w:pPr>
              <w:widowControl/>
              <w:jc w:val="left"/>
              <w:rPr>
                <w:rFonts w:hint="eastAsia" w:ascii="仿宋_GB2312" w:eastAsia="仿宋_GB2312"/>
                <w:kern w:val="0"/>
                <w:szCs w:val="21"/>
              </w:rPr>
            </w:pPr>
          </w:p>
        </w:tc>
      </w:tr>
      <w:tr>
        <w:tblPrEx>
          <w:tblCellMar>
            <w:top w:w="0" w:type="dxa"/>
            <w:left w:w="108" w:type="dxa"/>
            <w:bottom w:w="0" w:type="dxa"/>
            <w:right w:w="108" w:type="dxa"/>
          </w:tblCellMar>
        </w:tblPrEx>
        <w:trPr>
          <w:wBefore w:w="0" w:type="dxa"/>
          <w:wAfter w:w="0" w:type="dxa"/>
          <w:trHeight w:val="454" w:hRule="atLeast"/>
          <w:jc w:val="center"/>
        </w:trPr>
        <w:tc>
          <w:tcPr>
            <w:tcW w:w="1540" w:type="dxa"/>
            <w:vMerge w:val="restart"/>
            <w:tcBorders>
              <w:top w:val="nil"/>
              <w:left w:val="single" w:color="auto" w:sz="8" w:space="0"/>
              <w:bottom w:val="single" w:color="auto" w:sz="4" w:space="0"/>
              <w:right w:val="single" w:color="auto" w:sz="4" w:space="0"/>
            </w:tcBorders>
            <w:noWrap w:val="0"/>
            <w:vAlign w:val="center"/>
          </w:tcPr>
          <w:p>
            <w:pPr>
              <w:widowControl/>
              <w:jc w:val="center"/>
              <w:rPr>
                <w:rFonts w:hint="eastAsia" w:ascii="仿宋_GB2312" w:eastAsia="仿宋_GB2312"/>
                <w:kern w:val="0"/>
                <w:szCs w:val="21"/>
              </w:rPr>
            </w:pPr>
            <w:r>
              <w:rPr>
                <w:rFonts w:hint="eastAsia" w:ascii="仿宋_GB2312" w:hAnsi="宋体" w:eastAsia="仿宋_GB2312"/>
                <w:kern w:val="0"/>
                <w:szCs w:val="21"/>
              </w:rPr>
              <w:t>语言、教态及教学效果</w:t>
            </w:r>
          </w:p>
          <w:p>
            <w:pPr>
              <w:widowControl/>
              <w:jc w:val="center"/>
              <w:rPr>
                <w:rFonts w:hint="eastAsia" w:ascii="仿宋_GB2312" w:eastAsia="仿宋_GB2312"/>
                <w:kern w:val="0"/>
                <w:szCs w:val="21"/>
              </w:rPr>
            </w:pPr>
            <w:r>
              <w:rPr>
                <w:rFonts w:hint="eastAsia" w:ascii="仿宋_GB2312" w:hAnsi="宋体" w:eastAsia="仿宋_GB2312"/>
                <w:kern w:val="0"/>
                <w:szCs w:val="21"/>
              </w:rPr>
              <w:t>（</w:t>
            </w:r>
            <w:r>
              <w:rPr>
                <w:rFonts w:hint="eastAsia" w:ascii="仿宋_GB2312" w:eastAsia="仿宋_GB2312"/>
                <w:kern w:val="0"/>
                <w:szCs w:val="21"/>
              </w:rPr>
              <w:t>20</w:t>
            </w:r>
            <w:r>
              <w:rPr>
                <w:rFonts w:hint="eastAsia" w:ascii="仿宋_GB2312" w:hAnsi="宋体" w:eastAsia="仿宋_GB2312"/>
                <w:kern w:val="0"/>
                <w:szCs w:val="21"/>
              </w:rPr>
              <w:t>分）</w:t>
            </w:r>
          </w:p>
        </w:tc>
        <w:tc>
          <w:tcPr>
            <w:tcW w:w="5600" w:type="dxa"/>
            <w:vMerge w:val="restart"/>
            <w:tcBorders>
              <w:top w:val="nil"/>
              <w:left w:val="single" w:color="auto" w:sz="4" w:space="0"/>
              <w:bottom w:val="single" w:color="auto" w:sz="4" w:space="0"/>
              <w:right w:val="single" w:color="auto" w:sz="4" w:space="0"/>
            </w:tcBorders>
            <w:noWrap w:val="0"/>
            <w:vAlign w:val="center"/>
          </w:tcPr>
          <w:p>
            <w:pPr>
              <w:widowControl/>
              <w:jc w:val="left"/>
              <w:rPr>
                <w:rFonts w:hint="eastAsia" w:ascii="仿宋_GB2312" w:eastAsia="仿宋_GB2312"/>
                <w:kern w:val="0"/>
                <w:szCs w:val="21"/>
              </w:rPr>
            </w:pPr>
            <w:r>
              <w:rPr>
                <w:rFonts w:hint="eastAsia" w:ascii="仿宋_GB2312" w:eastAsia="仿宋_GB2312"/>
                <w:kern w:val="0"/>
                <w:szCs w:val="21"/>
              </w:rPr>
              <w:t>1</w:t>
            </w:r>
            <w:r>
              <w:rPr>
                <w:rFonts w:hint="eastAsia" w:ascii="仿宋_GB2312" w:hAnsi="宋体" w:eastAsia="仿宋_GB2312"/>
                <w:kern w:val="0"/>
                <w:szCs w:val="21"/>
              </w:rPr>
              <w:t>、使用普通话（外语），语言准确、清晰、生动，语速均衡，抑扬顿挫，有激情和表现力；</w:t>
            </w:r>
            <w:r>
              <w:rPr>
                <w:rFonts w:hint="eastAsia" w:ascii="仿宋_GB2312" w:eastAsia="仿宋_GB2312"/>
                <w:kern w:val="0"/>
                <w:szCs w:val="21"/>
              </w:rPr>
              <w:t xml:space="preserve">             2</w:t>
            </w:r>
            <w:r>
              <w:rPr>
                <w:rFonts w:hint="eastAsia" w:ascii="仿宋_GB2312" w:hAnsi="宋体" w:eastAsia="仿宋_GB2312"/>
                <w:kern w:val="0"/>
                <w:szCs w:val="21"/>
              </w:rPr>
              <w:t>、合理利用肢体语言，教态自然大方，着装整洁得体，精神饱满；</w:t>
            </w:r>
            <w:r>
              <w:rPr>
                <w:rFonts w:hint="eastAsia" w:ascii="仿宋_GB2312" w:eastAsia="仿宋_GB2312"/>
                <w:kern w:val="0"/>
                <w:szCs w:val="21"/>
              </w:rPr>
              <w:t xml:space="preserve">                                   3</w:t>
            </w:r>
            <w:r>
              <w:rPr>
                <w:rFonts w:hint="eastAsia" w:ascii="仿宋_GB2312" w:hAnsi="宋体" w:eastAsia="仿宋_GB2312"/>
                <w:kern w:val="0"/>
                <w:szCs w:val="21"/>
              </w:rPr>
              <w:t>、教学特色明显、风格突出、感染力强、教学效果好。</w:t>
            </w:r>
            <w:r>
              <w:rPr>
                <w:rFonts w:hint="eastAsia" w:ascii="仿宋_GB2312" w:eastAsia="仿宋_GB2312"/>
                <w:kern w:val="0"/>
                <w:szCs w:val="21"/>
              </w:rPr>
              <w:t xml:space="preserve"> </w:t>
            </w:r>
          </w:p>
        </w:tc>
        <w:tc>
          <w:tcPr>
            <w:tcW w:w="480" w:type="dxa"/>
            <w:tcBorders>
              <w:top w:val="nil"/>
              <w:left w:val="nil"/>
              <w:bottom w:val="single" w:color="auto" w:sz="4" w:space="0"/>
              <w:right w:val="single" w:color="auto" w:sz="4" w:space="0"/>
            </w:tcBorders>
            <w:noWrap w:val="0"/>
            <w:vAlign w:val="center"/>
          </w:tcPr>
          <w:p>
            <w:pPr>
              <w:widowControl/>
              <w:jc w:val="center"/>
              <w:rPr>
                <w:rFonts w:hint="eastAsia" w:ascii="仿宋_GB2312" w:eastAsia="仿宋_GB2312"/>
                <w:kern w:val="0"/>
                <w:szCs w:val="21"/>
              </w:rPr>
            </w:pPr>
            <w:r>
              <w:rPr>
                <w:rFonts w:hint="eastAsia" w:ascii="仿宋_GB2312" w:hAnsi="宋体" w:eastAsia="仿宋_GB2312"/>
                <w:kern w:val="0"/>
                <w:szCs w:val="21"/>
              </w:rPr>
              <w:t>优</w:t>
            </w:r>
          </w:p>
        </w:tc>
        <w:tc>
          <w:tcPr>
            <w:tcW w:w="936" w:type="dxa"/>
            <w:tcBorders>
              <w:top w:val="nil"/>
              <w:left w:val="nil"/>
              <w:bottom w:val="single" w:color="auto" w:sz="4" w:space="0"/>
              <w:right w:val="single" w:color="auto" w:sz="4" w:space="0"/>
            </w:tcBorders>
            <w:noWrap w:val="0"/>
            <w:vAlign w:val="center"/>
          </w:tcPr>
          <w:p>
            <w:pPr>
              <w:widowControl/>
              <w:jc w:val="center"/>
              <w:rPr>
                <w:rFonts w:hint="eastAsia" w:ascii="仿宋_GB2312" w:eastAsia="仿宋_GB2312"/>
                <w:kern w:val="0"/>
                <w:szCs w:val="21"/>
              </w:rPr>
            </w:pPr>
            <w:r>
              <w:rPr>
                <w:rFonts w:hint="eastAsia" w:ascii="仿宋_GB2312" w:eastAsia="仿宋_GB2312"/>
                <w:kern w:val="0"/>
                <w:szCs w:val="21"/>
              </w:rPr>
              <w:t>18-20</w:t>
            </w:r>
          </w:p>
        </w:tc>
        <w:tc>
          <w:tcPr>
            <w:tcW w:w="770" w:type="dxa"/>
            <w:vMerge w:val="restart"/>
            <w:tcBorders>
              <w:top w:val="nil"/>
              <w:left w:val="single" w:color="auto" w:sz="4" w:space="0"/>
              <w:bottom w:val="single" w:color="auto" w:sz="4" w:space="0"/>
              <w:right w:val="single" w:color="auto" w:sz="8" w:space="0"/>
            </w:tcBorders>
            <w:noWrap w:val="0"/>
            <w:vAlign w:val="center"/>
          </w:tcPr>
          <w:p>
            <w:pPr>
              <w:widowControl/>
              <w:jc w:val="center"/>
              <w:rPr>
                <w:rFonts w:hint="eastAsia" w:ascii="仿宋_GB2312" w:eastAsia="仿宋_GB2312"/>
                <w:kern w:val="0"/>
                <w:szCs w:val="21"/>
              </w:rPr>
            </w:pPr>
            <w:r>
              <w:rPr>
                <w:rFonts w:hint="eastAsia" w:ascii="仿宋_GB2312" w:hAnsi="宋体" w:eastAsia="仿宋_GB2312"/>
                <w:kern w:val="0"/>
                <w:szCs w:val="21"/>
              </w:rPr>
              <w:t>　</w:t>
            </w:r>
          </w:p>
        </w:tc>
      </w:tr>
      <w:tr>
        <w:tblPrEx>
          <w:tblCellMar>
            <w:top w:w="0" w:type="dxa"/>
            <w:left w:w="108" w:type="dxa"/>
            <w:bottom w:w="0" w:type="dxa"/>
            <w:right w:w="108" w:type="dxa"/>
          </w:tblCellMar>
        </w:tblPrEx>
        <w:trPr>
          <w:wBefore w:w="0" w:type="dxa"/>
          <w:wAfter w:w="0" w:type="dxa"/>
          <w:trHeight w:val="426" w:hRule="atLeast"/>
          <w:jc w:val="center"/>
        </w:trPr>
        <w:tc>
          <w:tcPr>
            <w:tcW w:w="1540" w:type="dxa"/>
            <w:vMerge w:val="continue"/>
            <w:tcBorders>
              <w:top w:val="nil"/>
              <w:left w:val="single" w:color="auto" w:sz="8" w:space="0"/>
              <w:bottom w:val="single" w:color="auto" w:sz="4" w:space="0"/>
              <w:right w:val="single" w:color="auto" w:sz="4" w:space="0"/>
            </w:tcBorders>
            <w:noWrap w:val="0"/>
            <w:vAlign w:val="center"/>
          </w:tcPr>
          <w:p>
            <w:pPr>
              <w:widowControl/>
              <w:jc w:val="left"/>
              <w:rPr>
                <w:rFonts w:hint="eastAsia" w:ascii="仿宋_GB2312" w:eastAsia="仿宋_GB2312"/>
                <w:kern w:val="0"/>
                <w:szCs w:val="21"/>
              </w:rPr>
            </w:pPr>
          </w:p>
        </w:tc>
        <w:tc>
          <w:tcPr>
            <w:tcW w:w="560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仿宋_GB2312" w:eastAsia="仿宋_GB2312"/>
                <w:kern w:val="0"/>
                <w:szCs w:val="21"/>
              </w:rPr>
            </w:pPr>
          </w:p>
        </w:tc>
        <w:tc>
          <w:tcPr>
            <w:tcW w:w="480" w:type="dxa"/>
            <w:tcBorders>
              <w:top w:val="nil"/>
              <w:left w:val="nil"/>
              <w:bottom w:val="single" w:color="auto" w:sz="4" w:space="0"/>
              <w:right w:val="single" w:color="auto" w:sz="4" w:space="0"/>
            </w:tcBorders>
            <w:noWrap w:val="0"/>
            <w:vAlign w:val="center"/>
          </w:tcPr>
          <w:p>
            <w:pPr>
              <w:widowControl/>
              <w:jc w:val="center"/>
              <w:rPr>
                <w:rFonts w:hint="eastAsia" w:ascii="仿宋_GB2312" w:eastAsia="仿宋_GB2312"/>
                <w:kern w:val="0"/>
                <w:szCs w:val="21"/>
              </w:rPr>
            </w:pPr>
            <w:r>
              <w:rPr>
                <w:rFonts w:hint="eastAsia" w:ascii="仿宋_GB2312" w:hAnsi="宋体" w:eastAsia="仿宋_GB2312"/>
                <w:kern w:val="0"/>
                <w:szCs w:val="21"/>
              </w:rPr>
              <w:t>良</w:t>
            </w:r>
          </w:p>
        </w:tc>
        <w:tc>
          <w:tcPr>
            <w:tcW w:w="936" w:type="dxa"/>
            <w:tcBorders>
              <w:top w:val="nil"/>
              <w:left w:val="nil"/>
              <w:bottom w:val="single" w:color="auto" w:sz="4" w:space="0"/>
              <w:right w:val="single" w:color="auto" w:sz="4" w:space="0"/>
            </w:tcBorders>
            <w:noWrap w:val="0"/>
            <w:vAlign w:val="center"/>
          </w:tcPr>
          <w:p>
            <w:pPr>
              <w:widowControl/>
              <w:jc w:val="center"/>
              <w:rPr>
                <w:rFonts w:hint="eastAsia" w:ascii="仿宋_GB2312" w:eastAsia="仿宋_GB2312"/>
                <w:kern w:val="0"/>
                <w:szCs w:val="21"/>
              </w:rPr>
            </w:pPr>
            <w:r>
              <w:rPr>
                <w:rFonts w:hint="eastAsia" w:ascii="仿宋_GB2312" w:eastAsia="仿宋_GB2312"/>
                <w:kern w:val="0"/>
                <w:szCs w:val="21"/>
              </w:rPr>
              <w:t>15-17</w:t>
            </w:r>
          </w:p>
        </w:tc>
        <w:tc>
          <w:tcPr>
            <w:tcW w:w="770" w:type="dxa"/>
            <w:vMerge w:val="continue"/>
            <w:tcBorders>
              <w:top w:val="nil"/>
              <w:left w:val="single" w:color="auto" w:sz="4" w:space="0"/>
              <w:bottom w:val="single" w:color="auto" w:sz="4" w:space="0"/>
              <w:right w:val="single" w:color="auto" w:sz="8" w:space="0"/>
            </w:tcBorders>
            <w:noWrap w:val="0"/>
            <w:vAlign w:val="center"/>
          </w:tcPr>
          <w:p>
            <w:pPr>
              <w:widowControl/>
              <w:jc w:val="left"/>
              <w:rPr>
                <w:rFonts w:hint="eastAsia" w:ascii="仿宋_GB2312" w:eastAsia="仿宋_GB2312"/>
                <w:kern w:val="0"/>
                <w:szCs w:val="21"/>
              </w:rPr>
            </w:pPr>
          </w:p>
        </w:tc>
      </w:tr>
      <w:tr>
        <w:tblPrEx>
          <w:tblCellMar>
            <w:top w:w="0" w:type="dxa"/>
            <w:left w:w="108" w:type="dxa"/>
            <w:bottom w:w="0" w:type="dxa"/>
            <w:right w:w="108" w:type="dxa"/>
          </w:tblCellMar>
        </w:tblPrEx>
        <w:trPr>
          <w:wBefore w:w="0" w:type="dxa"/>
          <w:wAfter w:w="0" w:type="dxa"/>
          <w:trHeight w:val="599" w:hRule="atLeast"/>
          <w:jc w:val="center"/>
        </w:trPr>
        <w:tc>
          <w:tcPr>
            <w:tcW w:w="1540" w:type="dxa"/>
            <w:vMerge w:val="continue"/>
            <w:tcBorders>
              <w:top w:val="nil"/>
              <w:left w:val="single" w:color="auto" w:sz="8" w:space="0"/>
              <w:bottom w:val="single" w:color="auto" w:sz="4" w:space="0"/>
              <w:right w:val="single" w:color="auto" w:sz="4" w:space="0"/>
            </w:tcBorders>
            <w:noWrap w:val="0"/>
            <w:vAlign w:val="center"/>
          </w:tcPr>
          <w:p>
            <w:pPr>
              <w:widowControl/>
              <w:jc w:val="left"/>
              <w:rPr>
                <w:rFonts w:hint="eastAsia" w:ascii="仿宋_GB2312" w:eastAsia="仿宋_GB2312"/>
                <w:kern w:val="0"/>
                <w:szCs w:val="21"/>
              </w:rPr>
            </w:pPr>
          </w:p>
        </w:tc>
        <w:tc>
          <w:tcPr>
            <w:tcW w:w="560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仿宋_GB2312" w:eastAsia="仿宋_GB2312"/>
                <w:kern w:val="0"/>
                <w:szCs w:val="21"/>
              </w:rPr>
            </w:pPr>
          </w:p>
        </w:tc>
        <w:tc>
          <w:tcPr>
            <w:tcW w:w="480" w:type="dxa"/>
            <w:tcBorders>
              <w:top w:val="nil"/>
              <w:left w:val="nil"/>
              <w:bottom w:val="single" w:color="auto" w:sz="4" w:space="0"/>
              <w:right w:val="single" w:color="auto" w:sz="4" w:space="0"/>
            </w:tcBorders>
            <w:noWrap w:val="0"/>
            <w:vAlign w:val="center"/>
          </w:tcPr>
          <w:p>
            <w:pPr>
              <w:widowControl/>
              <w:jc w:val="center"/>
              <w:rPr>
                <w:rFonts w:hint="eastAsia" w:ascii="仿宋_GB2312" w:eastAsia="仿宋_GB2312"/>
                <w:kern w:val="0"/>
                <w:szCs w:val="21"/>
              </w:rPr>
            </w:pPr>
            <w:r>
              <w:rPr>
                <w:rFonts w:hint="eastAsia" w:ascii="仿宋_GB2312" w:hAnsi="宋体" w:eastAsia="仿宋_GB2312"/>
                <w:kern w:val="0"/>
                <w:szCs w:val="21"/>
              </w:rPr>
              <w:t>中</w:t>
            </w:r>
          </w:p>
        </w:tc>
        <w:tc>
          <w:tcPr>
            <w:tcW w:w="936" w:type="dxa"/>
            <w:tcBorders>
              <w:top w:val="nil"/>
              <w:left w:val="nil"/>
              <w:bottom w:val="single" w:color="auto" w:sz="4" w:space="0"/>
              <w:right w:val="single" w:color="auto" w:sz="4" w:space="0"/>
            </w:tcBorders>
            <w:noWrap w:val="0"/>
            <w:vAlign w:val="center"/>
          </w:tcPr>
          <w:p>
            <w:pPr>
              <w:widowControl/>
              <w:jc w:val="center"/>
              <w:rPr>
                <w:rFonts w:hint="eastAsia" w:ascii="仿宋_GB2312" w:eastAsia="仿宋_GB2312"/>
                <w:kern w:val="0"/>
                <w:szCs w:val="21"/>
              </w:rPr>
            </w:pPr>
            <w:r>
              <w:rPr>
                <w:rFonts w:hint="eastAsia" w:ascii="仿宋_GB2312" w:eastAsia="仿宋_GB2312"/>
                <w:kern w:val="0"/>
                <w:szCs w:val="21"/>
              </w:rPr>
              <w:t>12-14</w:t>
            </w:r>
          </w:p>
        </w:tc>
        <w:tc>
          <w:tcPr>
            <w:tcW w:w="770" w:type="dxa"/>
            <w:vMerge w:val="continue"/>
            <w:tcBorders>
              <w:top w:val="nil"/>
              <w:left w:val="single" w:color="auto" w:sz="4" w:space="0"/>
              <w:bottom w:val="single" w:color="auto" w:sz="4" w:space="0"/>
              <w:right w:val="single" w:color="auto" w:sz="8" w:space="0"/>
            </w:tcBorders>
            <w:noWrap w:val="0"/>
            <w:vAlign w:val="center"/>
          </w:tcPr>
          <w:p>
            <w:pPr>
              <w:widowControl/>
              <w:jc w:val="left"/>
              <w:rPr>
                <w:rFonts w:hint="eastAsia" w:ascii="仿宋_GB2312" w:eastAsia="仿宋_GB2312"/>
                <w:kern w:val="0"/>
                <w:szCs w:val="21"/>
              </w:rPr>
            </w:pPr>
          </w:p>
        </w:tc>
      </w:tr>
      <w:tr>
        <w:tblPrEx>
          <w:tblCellMar>
            <w:top w:w="0" w:type="dxa"/>
            <w:left w:w="108" w:type="dxa"/>
            <w:bottom w:w="0" w:type="dxa"/>
            <w:right w:w="108" w:type="dxa"/>
          </w:tblCellMar>
        </w:tblPrEx>
        <w:trPr>
          <w:wBefore w:w="0" w:type="dxa"/>
          <w:wAfter w:w="0" w:type="dxa"/>
          <w:trHeight w:val="440" w:hRule="atLeast"/>
          <w:jc w:val="center"/>
        </w:trPr>
        <w:tc>
          <w:tcPr>
            <w:tcW w:w="1540" w:type="dxa"/>
            <w:vMerge w:val="continue"/>
            <w:tcBorders>
              <w:top w:val="nil"/>
              <w:left w:val="single" w:color="auto" w:sz="8" w:space="0"/>
              <w:bottom w:val="single" w:color="auto" w:sz="4" w:space="0"/>
              <w:right w:val="single" w:color="auto" w:sz="4" w:space="0"/>
            </w:tcBorders>
            <w:noWrap w:val="0"/>
            <w:vAlign w:val="center"/>
          </w:tcPr>
          <w:p>
            <w:pPr>
              <w:widowControl/>
              <w:jc w:val="left"/>
              <w:rPr>
                <w:rFonts w:hint="eastAsia" w:ascii="仿宋_GB2312" w:eastAsia="仿宋_GB2312"/>
                <w:kern w:val="0"/>
                <w:szCs w:val="21"/>
              </w:rPr>
            </w:pPr>
          </w:p>
        </w:tc>
        <w:tc>
          <w:tcPr>
            <w:tcW w:w="560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仿宋_GB2312" w:eastAsia="仿宋_GB2312"/>
                <w:kern w:val="0"/>
                <w:szCs w:val="21"/>
              </w:rPr>
            </w:pPr>
          </w:p>
        </w:tc>
        <w:tc>
          <w:tcPr>
            <w:tcW w:w="480" w:type="dxa"/>
            <w:tcBorders>
              <w:top w:val="nil"/>
              <w:left w:val="nil"/>
              <w:bottom w:val="single" w:color="auto" w:sz="4" w:space="0"/>
              <w:right w:val="single" w:color="auto" w:sz="4" w:space="0"/>
            </w:tcBorders>
            <w:noWrap w:val="0"/>
            <w:vAlign w:val="center"/>
          </w:tcPr>
          <w:p>
            <w:pPr>
              <w:widowControl/>
              <w:jc w:val="center"/>
              <w:rPr>
                <w:rFonts w:hint="eastAsia" w:ascii="仿宋_GB2312" w:eastAsia="仿宋_GB2312"/>
                <w:kern w:val="0"/>
                <w:szCs w:val="21"/>
              </w:rPr>
            </w:pPr>
            <w:r>
              <w:rPr>
                <w:rFonts w:hint="eastAsia" w:ascii="仿宋_GB2312" w:hAnsi="宋体" w:eastAsia="仿宋_GB2312"/>
                <w:kern w:val="0"/>
                <w:szCs w:val="21"/>
              </w:rPr>
              <w:t>差</w:t>
            </w:r>
          </w:p>
        </w:tc>
        <w:tc>
          <w:tcPr>
            <w:tcW w:w="936" w:type="dxa"/>
            <w:tcBorders>
              <w:top w:val="nil"/>
              <w:left w:val="nil"/>
              <w:bottom w:val="single" w:color="auto" w:sz="4" w:space="0"/>
              <w:right w:val="single" w:color="auto" w:sz="4" w:space="0"/>
            </w:tcBorders>
            <w:noWrap w:val="0"/>
            <w:vAlign w:val="center"/>
          </w:tcPr>
          <w:p>
            <w:pPr>
              <w:widowControl/>
              <w:jc w:val="center"/>
              <w:rPr>
                <w:rFonts w:hint="eastAsia" w:ascii="仿宋_GB2312" w:eastAsia="仿宋_GB2312"/>
                <w:kern w:val="0"/>
                <w:szCs w:val="21"/>
              </w:rPr>
            </w:pPr>
            <w:r>
              <w:rPr>
                <w:rFonts w:hint="eastAsia" w:ascii="仿宋_GB2312" w:eastAsia="仿宋_GB2312"/>
                <w:kern w:val="0"/>
                <w:szCs w:val="21"/>
              </w:rPr>
              <w:t>0-11</w:t>
            </w:r>
          </w:p>
        </w:tc>
        <w:tc>
          <w:tcPr>
            <w:tcW w:w="770" w:type="dxa"/>
            <w:vMerge w:val="continue"/>
            <w:tcBorders>
              <w:top w:val="nil"/>
              <w:left w:val="single" w:color="auto" w:sz="4" w:space="0"/>
              <w:bottom w:val="single" w:color="auto" w:sz="4" w:space="0"/>
              <w:right w:val="single" w:color="auto" w:sz="8" w:space="0"/>
            </w:tcBorders>
            <w:noWrap w:val="0"/>
            <w:vAlign w:val="center"/>
          </w:tcPr>
          <w:p>
            <w:pPr>
              <w:widowControl/>
              <w:jc w:val="left"/>
              <w:rPr>
                <w:rFonts w:hint="eastAsia" w:ascii="仿宋_GB2312" w:eastAsia="仿宋_GB2312"/>
                <w:kern w:val="0"/>
                <w:szCs w:val="21"/>
              </w:rPr>
            </w:pPr>
          </w:p>
        </w:tc>
      </w:tr>
      <w:tr>
        <w:tblPrEx>
          <w:tblCellMar>
            <w:top w:w="0" w:type="dxa"/>
            <w:left w:w="108" w:type="dxa"/>
            <w:bottom w:w="0" w:type="dxa"/>
            <w:right w:w="108" w:type="dxa"/>
          </w:tblCellMar>
        </w:tblPrEx>
        <w:trPr>
          <w:wBefore w:w="0" w:type="dxa"/>
          <w:wAfter w:w="0" w:type="dxa"/>
          <w:trHeight w:val="405" w:hRule="atLeast"/>
          <w:jc w:val="center"/>
        </w:trPr>
        <w:tc>
          <w:tcPr>
            <w:tcW w:w="1540" w:type="dxa"/>
            <w:vMerge w:val="restart"/>
            <w:tcBorders>
              <w:top w:val="nil"/>
              <w:left w:val="single" w:color="auto" w:sz="8" w:space="0"/>
              <w:bottom w:val="single" w:color="auto" w:sz="4" w:space="0"/>
              <w:right w:val="single" w:color="auto" w:sz="4" w:space="0"/>
            </w:tcBorders>
            <w:noWrap w:val="0"/>
            <w:vAlign w:val="center"/>
          </w:tcPr>
          <w:p>
            <w:pPr>
              <w:widowControl/>
              <w:jc w:val="center"/>
              <w:rPr>
                <w:rFonts w:hint="eastAsia" w:ascii="仿宋_GB2312" w:eastAsia="仿宋_GB2312"/>
                <w:kern w:val="0"/>
                <w:szCs w:val="21"/>
              </w:rPr>
            </w:pPr>
            <w:r>
              <w:rPr>
                <w:rFonts w:hint="eastAsia" w:ascii="仿宋_GB2312" w:hAnsi="宋体" w:eastAsia="仿宋_GB2312"/>
                <w:kern w:val="0"/>
                <w:szCs w:val="21"/>
              </w:rPr>
              <w:t>说课</w:t>
            </w:r>
          </w:p>
          <w:p>
            <w:pPr>
              <w:widowControl/>
              <w:jc w:val="center"/>
              <w:rPr>
                <w:rFonts w:hint="eastAsia" w:ascii="仿宋_GB2312" w:eastAsia="仿宋_GB2312"/>
                <w:kern w:val="0"/>
                <w:szCs w:val="21"/>
              </w:rPr>
            </w:pPr>
            <w:r>
              <w:rPr>
                <w:rFonts w:hint="eastAsia" w:ascii="仿宋_GB2312" w:hAnsi="宋体" w:eastAsia="仿宋_GB2312"/>
                <w:kern w:val="0"/>
                <w:szCs w:val="21"/>
              </w:rPr>
              <w:t>（</w:t>
            </w:r>
            <w:r>
              <w:rPr>
                <w:rFonts w:hint="eastAsia" w:ascii="仿宋_GB2312" w:eastAsia="仿宋_GB2312"/>
                <w:kern w:val="0"/>
                <w:szCs w:val="21"/>
              </w:rPr>
              <w:t>20</w:t>
            </w:r>
            <w:r>
              <w:rPr>
                <w:rFonts w:hint="eastAsia" w:ascii="仿宋_GB2312" w:hAnsi="宋体" w:eastAsia="仿宋_GB2312"/>
                <w:kern w:val="0"/>
                <w:szCs w:val="21"/>
              </w:rPr>
              <w:t>分）</w:t>
            </w:r>
          </w:p>
        </w:tc>
        <w:tc>
          <w:tcPr>
            <w:tcW w:w="5600" w:type="dxa"/>
            <w:vMerge w:val="restart"/>
            <w:tcBorders>
              <w:top w:val="nil"/>
              <w:left w:val="single" w:color="auto" w:sz="4" w:space="0"/>
              <w:bottom w:val="single" w:color="auto" w:sz="4" w:space="0"/>
              <w:right w:val="single" w:color="auto" w:sz="4" w:space="0"/>
            </w:tcBorders>
            <w:noWrap w:val="0"/>
            <w:vAlign w:val="center"/>
          </w:tcPr>
          <w:p>
            <w:pPr>
              <w:widowControl/>
              <w:jc w:val="left"/>
              <w:rPr>
                <w:rFonts w:hint="eastAsia" w:ascii="仿宋_GB2312" w:eastAsia="仿宋_GB2312"/>
                <w:kern w:val="0"/>
                <w:szCs w:val="21"/>
              </w:rPr>
            </w:pPr>
            <w:r>
              <w:rPr>
                <w:rFonts w:hint="eastAsia" w:ascii="仿宋_GB2312" w:hAnsi="宋体" w:eastAsia="仿宋_GB2312"/>
                <w:kern w:val="0"/>
                <w:szCs w:val="21"/>
              </w:rPr>
              <w:t>能系统而概括地解说对具体课程的理解，阐述教学观点清晰，对具体执教某课程的教学设想、方法、策略以及组织教学的理论依据等表述明确、合理。</w:t>
            </w:r>
            <w:r>
              <w:rPr>
                <w:rFonts w:hint="eastAsia" w:ascii="仿宋_GB2312" w:eastAsia="仿宋_GB2312"/>
                <w:kern w:val="0"/>
                <w:szCs w:val="21"/>
              </w:rPr>
              <w:t xml:space="preserve">                                                                                                                               </w:t>
            </w:r>
          </w:p>
        </w:tc>
        <w:tc>
          <w:tcPr>
            <w:tcW w:w="480" w:type="dxa"/>
            <w:tcBorders>
              <w:top w:val="nil"/>
              <w:left w:val="nil"/>
              <w:bottom w:val="single" w:color="auto" w:sz="4" w:space="0"/>
              <w:right w:val="single" w:color="auto" w:sz="4" w:space="0"/>
            </w:tcBorders>
            <w:noWrap w:val="0"/>
            <w:vAlign w:val="center"/>
          </w:tcPr>
          <w:p>
            <w:pPr>
              <w:widowControl/>
              <w:jc w:val="center"/>
              <w:rPr>
                <w:rFonts w:hint="eastAsia" w:ascii="仿宋_GB2312" w:eastAsia="仿宋_GB2312"/>
                <w:kern w:val="0"/>
                <w:szCs w:val="21"/>
              </w:rPr>
            </w:pPr>
            <w:r>
              <w:rPr>
                <w:rFonts w:hint="eastAsia" w:ascii="仿宋_GB2312" w:hAnsi="宋体" w:eastAsia="仿宋_GB2312"/>
                <w:kern w:val="0"/>
                <w:szCs w:val="21"/>
              </w:rPr>
              <w:t>优</w:t>
            </w:r>
          </w:p>
        </w:tc>
        <w:tc>
          <w:tcPr>
            <w:tcW w:w="936" w:type="dxa"/>
            <w:tcBorders>
              <w:top w:val="nil"/>
              <w:left w:val="nil"/>
              <w:bottom w:val="single" w:color="auto" w:sz="4" w:space="0"/>
              <w:right w:val="single" w:color="auto" w:sz="4" w:space="0"/>
            </w:tcBorders>
            <w:noWrap w:val="0"/>
            <w:vAlign w:val="center"/>
          </w:tcPr>
          <w:p>
            <w:pPr>
              <w:widowControl/>
              <w:jc w:val="center"/>
              <w:rPr>
                <w:rFonts w:hint="eastAsia" w:ascii="仿宋_GB2312" w:eastAsia="仿宋_GB2312"/>
                <w:kern w:val="0"/>
                <w:szCs w:val="21"/>
              </w:rPr>
            </w:pPr>
            <w:r>
              <w:rPr>
                <w:rFonts w:hint="eastAsia" w:ascii="仿宋_GB2312" w:eastAsia="仿宋_GB2312"/>
                <w:kern w:val="0"/>
                <w:szCs w:val="21"/>
              </w:rPr>
              <w:t>18-20</w:t>
            </w:r>
          </w:p>
        </w:tc>
        <w:tc>
          <w:tcPr>
            <w:tcW w:w="770" w:type="dxa"/>
            <w:vMerge w:val="restart"/>
            <w:tcBorders>
              <w:top w:val="nil"/>
              <w:left w:val="single" w:color="auto" w:sz="4" w:space="0"/>
              <w:bottom w:val="single" w:color="auto" w:sz="4" w:space="0"/>
              <w:right w:val="single" w:color="auto" w:sz="8" w:space="0"/>
            </w:tcBorders>
            <w:noWrap w:val="0"/>
            <w:vAlign w:val="center"/>
          </w:tcPr>
          <w:p>
            <w:pPr>
              <w:widowControl/>
              <w:jc w:val="center"/>
              <w:rPr>
                <w:rFonts w:hint="eastAsia" w:ascii="仿宋_GB2312" w:eastAsia="仿宋_GB2312"/>
                <w:kern w:val="0"/>
                <w:szCs w:val="21"/>
              </w:rPr>
            </w:pPr>
            <w:r>
              <w:rPr>
                <w:rFonts w:hint="eastAsia" w:ascii="仿宋_GB2312" w:hAnsi="宋体" w:eastAsia="仿宋_GB2312"/>
                <w:kern w:val="0"/>
                <w:szCs w:val="21"/>
              </w:rPr>
              <w:t>　</w:t>
            </w:r>
          </w:p>
        </w:tc>
      </w:tr>
      <w:tr>
        <w:tblPrEx>
          <w:tblCellMar>
            <w:top w:w="0" w:type="dxa"/>
            <w:left w:w="108" w:type="dxa"/>
            <w:bottom w:w="0" w:type="dxa"/>
            <w:right w:w="108" w:type="dxa"/>
          </w:tblCellMar>
        </w:tblPrEx>
        <w:trPr>
          <w:wBefore w:w="0" w:type="dxa"/>
          <w:wAfter w:w="0" w:type="dxa"/>
          <w:trHeight w:val="454" w:hRule="atLeast"/>
          <w:jc w:val="center"/>
        </w:trPr>
        <w:tc>
          <w:tcPr>
            <w:tcW w:w="1540" w:type="dxa"/>
            <w:vMerge w:val="continue"/>
            <w:tcBorders>
              <w:top w:val="nil"/>
              <w:left w:val="single" w:color="auto" w:sz="8" w:space="0"/>
              <w:bottom w:val="single" w:color="auto" w:sz="4" w:space="0"/>
              <w:right w:val="single" w:color="auto" w:sz="4" w:space="0"/>
            </w:tcBorders>
            <w:noWrap w:val="0"/>
            <w:vAlign w:val="center"/>
          </w:tcPr>
          <w:p>
            <w:pPr>
              <w:widowControl/>
              <w:jc w:val="left"/>
              <w:rPr>
                <w:rFonts w:hint="eastAsia" w:ascii="仿宋_GB2312" w:eastAsia="仿宋_GB2312"/>
                <w:kern w:val="0"/>
                <w:szCs w:val="21"/>
              </w:rPr>
            </w:pPr>
          </w:p>
        </w:tc>
        <w:tc>
          <w:tcPr>
            <w:tcW w:w="560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仿宋_GB2312" w:eastAsia="仿宋_GB2312"/>
                <w:kern w:val="0"/>
                <w:szCs w:val="21"/>
              </w:rPr>
            </w:pPr>
          </w:p>
        </w:tc>
        <w:tc>
          <w:tcPr>
            <w:tcW w:w="480" w:type="dxa"/>
            <w:tcBorders>
              <w:top w:val="nil"/>
              <w:left w:val="nil"/>
              <w:bottom w:val="single" w:color="auto" w:sz="4" w:space="0"/>
              <w:right w:val="single" w:color="auto" w:sz="4" w:space="0"/>
            </w:tcBorders>
            <w:noWrap w:val="0"/>
            <w:vAlign w:val="center"/>
          </w:tcPr>
          <w:p>
            <w:pPr>
              <w:widowControl/>
              <w:jc w:val="center"/>
              <w:rPr>
                <w:rFonts w:hint="eastAsia" w:ascii="仿宋_GB2312" w:eastAsia="仿宋_GB2312"/>
                <w:kern w:val="0"/>
                <w:szCs w:val="21"/>
              </w:rPr>
            </w:pPr>
            <w:r>
              <w:rPr>
                <w:rFonts w:hint="eastAsia" w:ascii="仿宋_GB2312" w:hAnsi="宋体" w:eastAsia="仿宋_GB2312"/>
                <w:kern w:val="0"/>
                <w:szCs w:val="21"/>
              </w:rPr>
              <w:t>良</w:t>
            </w:r>
          </w:p>
        </w:tc>
        <w:tc>
          <w:tcPr>
            <w:tcW w:w="936" w:type="dxa"/>
            <w:tcBorders>
              <w:top w:val="nil"/>
              <w:left w:val="nil"/>
              <w:bottom w:val="single" w:color="auto" w:sz="4" w:space="0"/>
              <w:right w:val="single" w:color="auto" w:sz="4" w:space="0"/>
            </w:tcBorders>
            <w:noWrap w:val="0"/>
            <w:vAlign w:val="center"/>
          </w:tcPr>
          <w:p>
            <w:pPr>
              <w:widowControl/>
              <w:jc w:val="center"/>
              <w:rPr>
                <w:rFonts w:hint="eastAsia" w:ascii="仿宋_GB2312" w:eastAsia="仿宋_GB2312"/>
                <w:kern w:val="0"/>
                <w:szCs w:val="21"/>
              </w:rPr>
            </w:pPr>
            <w:r>
              <w:rPr>
                <w:rFonts w:hint="eastAsia" w:ascii="仿宋_GB2312" w:eastAsia="仿宋_GB2312"/>
                <w:kern w:val="0"/>
                <w:szCs w:val="21"/>
              </w:rPr>
              <w:t>15-17</w:t>
            </w:r>
          </w:p>
        </w:tc>
        <w:tc>
          <w:tcPr>
            <w:tcW w:w="770" w:type="dxa"/>
            <w:vMerge w:val="continue"/>
            <w:tcBorders>
              <w:top w:val="nil"/>
              <w:left w:val="single" w:color="auto" w:sz="4" w:space="0"/>
              <w:bottom w:val="single" w:color="auto" w:sz="4" w:space="0"/>
              <w:right w:val="single" w:color="auto" w:sz="8" w:space="0"/>
            </w:tcBorders>
            <w:noWrap w:val="0"/>
            <w:vAlign w:val="center"/>
          </w:tcPr>
          <w:p>
            <w:pPr>
              <w:widowControl/>
              <w:jc w:val="left"/>
              <w:rPr>
                <w:rFonts w:hint="eastAsia" w:ascii="仿宋_GB2312" w:eastAsia="仿宋_GB2312"/>
                <w:kern w:val="0"/>
                <w:szCs w:val="21"/>
              </w:rPr>
            </w:pPr>
          </w:p>
        </w:tc>
      </w:tr>
      <w:tr>
        <w:tblPrEx>
          <w:tblCellMar>
            <w:top w:w="0" w:type="dxa"/>
            <w:left w:w="108" w:type="dxa"/>
            <w:bottom w:w="0" w:type="dxa"/>
            <w:right w:w="108" w:type="dxa"/>
          </w:tblCellMar>
        </w:tblPrEx>
        <w:trPr>
          <w:wBefore w:w="0" w:type="dxa"/>
          <w:wAfter w:w="0" w:type="dxa"/>
          <w:trHeight w:val="293" w:hRule="atLeast"/>
          <w:jc w:val="center"/>
        </w:trPr>
        <w:tc>
          <w:tcPr>
            <w:tcW w:w="1540" w:type="dxa"/>
            <w:vMerge w:val="continue"/>
            <w:tcBorders>
              <w:top w:val="nil"/>
              <w:left w:val="single" w:color="auto" w:sz="8" w:space="0"/>
              <w:bottom w:val="single" w:color="auto" w:sz="4" w:space="0"/>
              <w:right w:val="single" w:color="auto" w:sz="4" w:space="0"/>
            </w:tcBorders>
            <w:noWrap w:val="0"/>
            <w:vAlign w:val="center"/>
          </w:tcPr>
          <w:p>
            <w:pPr>
              <w:widowControl/>
              <w:jc w:val="left"/>
              <w:rPr>
                <w:rFonts w:hint="eastAsia" w:ascii="仿宋_GB2312" w:eastAsia="仿宋_GB2312"/>
                <w:kern w:val="0"/>
                <w:szCs w:val="21"/>
              </w:rPr>
            </w:pPr>
          </w:p>
        </w:tc>
        <w:tc>
          <w:tcPr>
            <w:tcW w:w="560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仿宋_GB2312" w:eastAsia="仿宋_GB2312"/>
                <w:kern w:val="0"/>
                <w:szCs w:val="21"/>
              </w:rPr>
            </w:pPr>
          </w:p>
        </w:tc>
        <w:tc>
          <w:tcPr>
            <w:tcW w:w="480" w:type="dxa"/>
            <w:tcBorders>
              <w:top w:val="nil"/>
              <w:left w:val="nil"/>
              <w:bottom w:val="single" w:color="auto" w:sz="4" w:space="0"/>
              <w:right w:val="single" w:color="auto" w:sz="4" w:space="0"/>
            </w:tcBorders>
            <w:noWrap w:val="0"/>
            <w:vAlign w:val="center"/>
          </w:tcPr>
          <w:p>
            <w:pPr>
              <w:widowControl/>
              <w:jc w:val="center"/>
              <w:rPr>
                <w:rFonts w:hint="eastAsia" w:ascii="仿宋_GB2312" w:eastAsia="仿宋_GB2312"/>
                <w:kern w:val="0"/>
                <w:szCs w:val="21"/>
              </w:rPr>
            </w:pPr>
            <w:r>
              <w:rPr>
                <w:rFonts w:hint="eastAsia" w:ascii="仿宋_GB2312" w:hAnsi="宋体" w:eastAsia="仿宋_GB2312"/>
                <w:kern w:val="0"/>
                <w:szCs w:val="21"/>
              </w:rPr>
              <w:t>中</w:t>
            </w:r>
          </w:p>
        </w:tc>
        <w:tc>
          <w:tcPr>
            <w:tcW w:w="936" w:type="dxa"/>
            <w:tcBorders>
              <w:top w:val="nil"/>
              <w:left w:val="nil"/>
              <w:bottom w:val="single" w:color="auto" w:sz="4" w:space="0"/>
              <w:right w:val="single" w:color="auto" w:sz="4" w:space="0"/>
            </w:tcBorders>
            <w:noWrap w:val="0"/>
            <w:vAlign w:val="center"/>
          </w:tcPr>
          <w:p>
            <w:pPr>
              <w:widowControl/>
              <w:jc w:val="center"/>
              <w:rPr>
                <w:rFonts w:hint="eastAsia" w:ascii="仿宋_GB2312" w:eastAsia="仿宋_GB2312"/>
                <w:kern w:val="0"/>
                <w:szCs w:val="21"/>
              </w:rPr>
            </w:pPr>
            <w:r>
              <w:rPr>
                <w:rFonts w:hint="eastAsia" w:ascii="仿宋_GB2312" w:eastAsia="仿宋_GB2312"/>
                <w:kern w:val="0"/>
                <w:szCs w:val="21"/>
              </w:rPr>
              <w:t>12-14</w:t>
            </w:r>
          </w:p>
        </w:tc>
        <w:tc>
          <w:tcPr>
            <w:tcW w:w="770" w:type="dxa"/>
            <w:vMerge w:val="continue"/>
            <w:tcBorders>
              <w:top w:val="nil"/>
              <w:left w:val="single" w:color="auto" w:sz="4" w:space="0"/>
              <w:bottom w:val="single" w:color="auto" w:sz="4" w:space="0"/>
              <w:right w:val="single" w:color="auto" w:sz="8" w:space="0"/>
            </w:tcBorders>
            <w:noWrap w:val="0"/>
            <w:vAlign w:val="center"/>
          </w:tcPr>
          <w:p>
            <w:pPr>
              <w:widowControl/>
              <w:jc w:val="left"/>
              <w:rPr>
                <w:rFonts w:hint="eastAsia" w:ascii="仿宋_GB2312" w:eastAsia="仿宋_GB2312"/>
                <w:kern w:val="0"/>
                <w:szCs w:val="21"/>
              </w:rPr>
            </w:pPr>
          </w:p>
        </w:tc>
      </w:tr>
      <w:tr>
        <w:tblPrEx>
          <w:tblCellMar>
            <w:top w:w="0" w:type="dxa"/>
            <w:left w:w="108" w:type="dxa"/>
            <w:bottom w:w="0" w:type="dxa"/>
            <w:right w:w="108" w:type="dxa"/>
          </w:tblCellMar>
        </w:tblPrEx>
        <w:trPr>
          <w:wBefore w:w="0" w:type="dxa"/>
          <w:wAfter w:w="0" w:type="dxa"/>
          <w:trHeight w:val="290" w:hRule="atLeast"/>
          <w:jc w:val="center"/>
        </w:trPr>
        <w:tc>
          <w:tcPr>
            <w:tcW w:w="1540" w:type="dxa"/>
            <w:vMerge w:val="continue"/>
            <w:tcBorders>
              <w:top w:val="nil"/>
              <w:left w:val="single" w:color="auto" w:sz="8" w:space="0"/>
              <w:bottom w:val="single" w:color="auto" w:sz="4" w:space="0"/>
              <w:right w:val="single" w:color="auto" w:sz="4" w:space="0"/>
            </w:tcBorders>
            <w:noWrap w:val="0"/>
            <w:vAlign w:val="center"/>
          </w:tcPr>
          <w:p>
            <w:pPr>
              <w:widowControl/>
              <w:jc w:val="left"/>
              <w:rPr>
                <w:rFonts w:hint="eastAsia" w:ascii="仿宋_GB2312" w:eastAsia="仿宋_GB2312"/>
                <w:kern w:val="0"/>
                <w:szCs w:val="21"/>
              </w:rPr>
            </w:pPr>
          </w:p>
        </w:tc>
        <w:tc>
          <w:tcPr>
            <w:tcW w:w="560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仿宋_GB2312" w:eastAsia="仿宋_GB2312"/>
                <w:kern w:val="0"/>
                <w:szCs w:val="21"/>
              </w:rPr>
            </w:pPr>
          </w:p>
        </w:tc>
        <w:tc>
          <w:tcPr>
            <w:tcW w:w="480" w:type="dxa"/>
            <w:tcBorders>
              <w:top w:val="nil"/>
              <w:left w:val="nil"/>
              <w:bottom w:val="single" w:color="auto" w:sz="4" w:space="0"/>
              <w:right w:val="single" w:color="auto" w:sz="4" w:space="0"/>
            </w:tcBorders>
            <w:noWrap w:val="0"/>
            <w:vAlign w:val="center"/>
          </w:tcPr>
          <w:p>
            <w:pPr>
              <w:widowControl/>
              <w:jc w:val="center"/>
              <w:rPr>
                <w:rFonts w:hint="eastAsia" w:ascii="仿宋_GB2312" w:eastAsia="仿宋_GB2312"/>
                <w:kern w:val="0"/>
                <w:szCs w:val="21"/>
              </w:rPr>
            </w:pPr>
            <w:r>
              <w:rPr>
                <w:rFonts w:hint="eastAsia" w:ascii="仿宋_GB2312" w:hAnsi="宋体" w:eastAsia="仿宋_GB2312"/>
                <w:kern w:val="0"/>
                <w:szCs w:val="21"/>
              </w:rPr>
              <w:t>差</w:t>
            </w:r>
          </w:p>
        </w:tc>
        <w:tc>
          <w:tcPr>
            <w:tcW w:w="936" w:type="dxa"/>
            <w:tcBorders>
              <w:top w:val="nil"/>
              <w:left w:val="nil"/>
              <w:bottom w:val="single" w:color="auto" w:sz="4" w:space="0"/>
              <w:right w:val="single" w:color="auto" w:sz="4" w:space="0"/>
            </w:tcBorders>
            <w:noWrap w:val="0"/>
            <w:vAlign w:val="center"/>
          </w:tcPr>
          <w:p>
            <w:pPr>
              <w:widowControl/>
              <w:jc w:val="center"/>
              <w:rPr>
                <w:rFonts w:hint="eastAsia" w:ascii="仿宋_GB2312" w:eastAsia="仿宋_GB2312"/>
                <w:kern w:val="0"/>
                <w:szCs w:val="21"/>
              </w:rPr>
            </w:pPr>
            <w:r>
              <w:rPr>
                <w:rFonts w:hint="eastAsia" w:ascii="仿宋_GB2312" w:eastAsia="仿宋_GB2312"/>
                <w:kern w:val="0"/>
                <w:szCs w:val="21"/>
              </w:rPr>
              <w:t>0-11</w:t>
            </w:r>
          </w:p>
        </w:tc>
        <w:tc>
          <w:tcPr>
            <w:tcW w:w="770" w:type="dxa"/>
            <w:vMerge w:val="continue"/>
            <w:tcBorders>
              <w:top w:val="nil"/>
              <w:left w:val="single" w:color="auto" w:sz="4" w:space="0"/>
              <w:bottom w:val="single" w:color="auto" w:sz="4" w:space="0"/>
              <w:right w:val="single" w:color="auto" w:sz="8" w:space="0"/>
            </w:tcBorders>
            <w:noWrap w:val="0"/>
            <w:vAlign w:val="center"/>
          </w:tcPr>
          <w:p>
            <w:pPr>
              <w:widowControl/>
              <w:jc w:val="left"/>
              <w:rPr>
                <w:rFonts w:hint="eastAsia" w:ascii="仿宋_GB2312" w:eastAsia="仿宋_GB2312"/>
                <w:kern w:val="0"/>
                <w:szCs w:val="21"/>
              </w:rPr>
            </w:pPr>
          </w:p>
        </w:tc>
      </w:tr>
      <w:tr>
        <w:tblPrEx>
          <w:tblCellMar>
            <w:top w:w="0" w:type="dxa"/>
            <w:left w:w="108" w:type="dxa"/>
            <w:bottom w:w="0" w:type="dxa"/>
            <w:right w:w="108" w:type="dxa"/>
          </w:tblCellMar>
        </w:tblPrEx>
        <w:trPr>
          <w:wBefore w:w="0" w:type="dxa"/>
          <w:wAfter w:w="0" w:type="dxa"/>
          <w:trHeight w:val="302" w:hRule="atLeast"/>
          <w:jc w:val="center"/>
        </w:trPr>
        <w:tc>
          <w:tcPr>
            <w:tcW w:w="1540" w:type="dxa"/>
            <w:vMerge w:val="restart"/>
            <w:tcBorders>
              <w:top w:val="nil"/>
              <w:left w:val="single" w:color="auto" w:sz="8" w:space="0"/>
              <w:bottom w:val="single" w:color="auto" w:sz="4" w:space="0"/>
              <w:right w:val="single" w:color="auto" w:sz="4" w:space="0"/>
            </w:tcBorders>
            <w:noWrap w:val="0"/>
            <w:vAlign w:val="center"/>
          </w:tcPr>
          <w:p>
            <w:pPr>
              <w:widowControl/>
              <w:jc w:val="center"/>
              <w:rPr>
                <w:rFonts w:hint="eastAsia" w:ascii="仿宋_GB2312" w:eastAsia="仿宋_GB2312"/>
                <w:kern w:val="0"/>
                <w:szCs w:val="21"/>
              </w:rPr>
            </w:pPr>
            <w:r>
              <w:rPr>
                <w:rFonts w:hint="eastAsia" w:ascii="仿宋_GB2312" w:hAnsi="宋体" w:eastAsia="仿宋_GB2312"/>
                <w:kern w:val="0"/>
                <w:szCs w:val="21"/>
              </w:rPr>
              <w:t>问题回答</w:t>
            </w:r>
          </w:p>
          <w:p>
            <w:pPr>
              <w:widowControl/>
              <w:jc w:val="center"/>
              <w:rPr>
                <w:rFonts w:hint="eastAsia" w:ascii="仿宋_GB2312" w:eastAsia="仿宋_GB2312"/>
                <w:kern w:val="0"/>
                <w:szCs w:val="21"/>
              </w:rPr>
            </w:pPr>
            <w:r>
              <w:rPr>
                <w:rFonts w:hint="eastAsia" w:ascii="仿宋_GB2312" w:hAnsi="宋体" w:eastAsia="仿宋_GB2312"/>
                <w:kern w:val="0"/>
                <w:szCs w:val="21"/>
              </w:rPr>
              <w:t>（</w:t>
            </w:r>
            <w:r>
              <w:rPr>
                <w:rFonts w:hint="eastAsia" w:ascii="仿宋_GB2312" w:eastAsia="仿宋_GB2312"/>
                <w:kern w:val="0"/>
                <w:szCs w:val="21"/>
              </w:rPr>
              <w:t>10</w:t>
            </w:r>
            <w:r>
              <w:rPr>
                <w:rFonts w:hint="eastAsia" w:ascii="仿宋_GB2312" w:hAnsi="宋体" w:eastAsia="仿宋_GB2312"/>
                <w:kern w:val="0"/>
                <w:szCs w:val="21"/>
              </w:rPr>
              <w:t>分）</w:t>
            </w:r>
          </w:p>
        </w:tc>
        <w:tc>
          <w:tcPr>
            <w:tcW w:w="5600" w:type="dxa"/>
            <w:vMerge w:val="restart"/>
            <w:tcBorders>
              <w:top w:val="nil"/>
              <w:left w:val="single" w:color="auto" w:sz="4" w:space="0"/>
              <w:bottom w:val="single" w:color="auto" w:sz="4" w:space="0"/>
              <w:right w:val="single" w:color="auto" w:sz="4" w:space="0"/>
            </w:tcBorders>
            <w:noWrap w:val="0"/>
            <w:vAlign w:val="center"/>
          </w:tcPr>
          <w:p>
            <w:pPr>
              <w:widowControl/>
              <w:jc w:val="left"/>
              <w:rPr>
                <w:rFonts w:hint="eastAsia" w:ascii="仿宋_GB2312" w:eastAsia="仿宋_GB2312"/>
                <w:kern w:val="0"/>
                <w:szCs w:val="21"/>
              </w:rPr>
            </w:pPr>
            <w:r>
              <w:rPr>
                <w:rFonts w:hint="eastAsia" w:ascii="仿宋_GB2312" w:hAnsi="宋体" w:eastAsia="仿宋_GB2312"/>
                <w:kern w:val="0"/>
                <w:szCs w:val="21"/>
              </w:rPr>
              <w:t>能较好地回答评委提问。</w:t>
            </w:r>
            <w:r>
              <w:rPr>
                <w:rFonts w:hint="eastAsia" w:ascii="仿宋_GB2312" w:eastAsia="仿宋_GB2312"/>
                <w:kern w:val="0"/>
                <w:szCs w:val="21"/>
              </w:rPr>
              <w:t xml:space="preserve">                                                                                                                               </w:t>
            </w:r>
          </w:p>
        </w:tc>
        <w:tc>
          <w:tcPr>
            <w:tcW w:w="480" w:type="dxa"/>
            <w:tcBorders>
              <w:top w:val="nil"/>
              <w:left w:val="nil"/>
              <w:bottom w:val="single" w:color="auto" w:sz="4" w:space="0"/>
              <w:right w:val="single" w:color="auto" w:sz="4" w:space="0"/>
            </w:tcBorders>
            <w:noWrap w:val="0"/>
            <w:vAlign w:val="center"/>
          </w:tcPr>
          <w:p>
            <w:pPr>
              <w:widowControl/>
              <w:jc w:val="center"/>
              <w:rPr>
                <w:rFonts w:hint="eastAsia" w:ascii="仿宋_GB2312" w:eastAsia="仿宋_GB2312"/>
                <w:kern w:val="0"/>
                <w:szCs w:val="21"/>
              </w:rPr>
            </w:pPr>
            <w:r>
              <w:rPr>
                <w:rFonts w:hint="eastAsia" w:ascii="仿宋_GB2312" w:hAnsi="宋体" w:eastAsia="仿宋_GB2312"/>
                <w:kern w:val="0"/>
                <w:szCs w:val="21"/>
              </w:rPr>
              <w:t>优</w:t>
            </w:r>
          </w:p>
        </w:tc>
        <w:tc>
          <w:tcPr>
            <w:tcW w:w="936" w:type="dxa"/>
            <w:tcBorders>
              <w:top w:val="nil"/>
              <w:left w:val="nil"/>
              <w:bottom w:val="single" w:color="auto" w:sz="4" w:space="0"/>
              <w:right w:val="single" w:color="auto" w:sz="4" w:space="0"/>
            </w:tcBorders>
            <w:noWrap w:val="0"/>
            <w:vAlign w:val="center"/>
          </w:tcPr>
          <w:p>
            <w:pPr>
              <w:widowControl/>
              <w:jc w:val="center"/>
              <w:rPr>
                <w:rFonts w:hint="eastAsia" w:ascii="仿宋_GB2312" w:eastAsia="仿宋_GB2312"/>
                <w:kern w:val="0"/>
                <w:szCs w:val="21"/>
              </w:rPr>
            </w:pPr>
            <w:r>
              <w:rPr>
                <w:rFonts w:hint="eastAsia" w:ascii="仿宋_GB2312" w:eastAsia="仿宋_GB2312"/>
                <w:kern w:val="0"/>
                <w:szCs w:val="21"/>
              </w:rPr>
              <w:t>8-10</w:t>
            </w:r>
          </w:p>
        </w:tc>
        <w:tc>
          <w:tcPr>
            <w:tcW w:w="770" w:type="dxa"/>
            <w:vMerge w:val="restart"/>
            <w:tcBorders>
              <w:top w:val="nil"/>
              <w:left w:val="single" w:color="auto" w:sz="4" w:space="0"/>
              <w:bottom w:val="single" w:color="auto" w:sz="4" w:space="0"/>
              <w:right w:val="single" w:color="auto" w:sz="8" w:space="0"/>
            </w:tcBorders>
            <w:noWrap w:val="0"/>
            <w:vAlign w:val="center"/>
          </w:tcPr>
          <w:p>
            <w:pPr>
              <w:widowControl/>
              <w:jc w:val="center"/>
              <w:rPr>
                <w:rFonts w:hint="eastAsia" w:ascii="仿宋_GB2312" w:eastAsia="仿宋_GB2312"/>
                <w:kern w:val="0"/>
                <w:szCs w:val="21"/>
              </w:rPr>
            </w:pPr>
            <w:r>
              <w:rPr>
                <w:rFonts w:hint="eastAsia" w:ascii="仿宋_GB2312" w:hAnsi="宋体" w:eastAsia="仿宋_GB2312"/>
                <w:kern w:val="0"/>
                <w:szCs w:val="21"/>
              </w:rPr>
              <w:t>　</w:t>
            </w:r>
          </w:p>
        </w:tc>
      </w:tr>
      <w:tr>
        <w:tblPrEx>
          <w:tblCellMar>
            <w:top w:w="0" w:type="dxa"/>
            <w:left w:w="108" w:type="dxa"/>
            <w:bottom w:w="0" w:type="dxa"/>
            <w:right w:w="108" w:type="dxa"/>
          </w:tblCellMar>
        </w:tblPrEx>
        <w:trPr>
          <w:wBefore w:w="0" w:type="dxa"/>
          <w:wAfter w:w="0" w:type="dxa"/>
          <w:trHeight w:val="280" w:hRule="atLeast"/>
          <w:jc w:val="center"/>
        </w:trPr>
        <w:tc>
          <w:tcPr>
            <w:tcW w:w="1540" w:type="dxa"/>
            <w:vMerge w:val="continue"/>
            <w:tcBorders>
              <w:top w:val="nil"/>
              <w:left w:val="single" w:color="auto" w:sz="8" w:space="0"/>
              <w:bottom w:val="single" w:color="auto" w:sz="4" w:space="0"/>
              <w:right w:val="single" w:color="auto" w:sz="4" w:space="0"/>
            </w:tcBorders>
            <w:noWrap w:val="0"/>
            <w:vAlign w:val="center"/>
          </w:tcPr>
          <w:p>
            <w:pPr>
              <w:widowControl/>
              <w:jc w:val="left"/>
              <w:rPr>
                <w:rFonts w:hint="eastAsia" w:ascii="仿宋_GB2312" w:eastAsia="仿宋_GB2312"/>
                <w:kern w:val="0"/>
                <w:szCs w:val="21"/>
              </w:rPr>
            </w:pPr>
          </w:p>
        </w:tc>
        <w:tc>
          <w:tcPr>
            <w:tcW w:w="560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仿宋_GB2312" w:eastAsia="仿宋_GB2312"/>
                <w:kern w:val="0"/>
                <w:szCs w:val="21"/>
              </w:rPr>
            </w:pPr>
          </w:p>
        </w:tc>
        <w:tc>
          <w:tcPr>
            <w:tcW w:w="480" w:type="dxa"/>
            <w:tcBorders>
              <w:top w:val="nil"/>
              <w:left w:val="nil"/>
              <w:bottom w:val="single" w:color="auto" w:sz="4" w:space="0"/>
              <w:right w:val="single" w:color="auto" w:sz="4" w:space="0"/>
            </w:tcBorders>
            <w:noWrap w:val="0"/>
            <w:vAlign w:val="center"/>
          </w:tcPr>
          <w:p>
            <w:pPr>
              <w:widowControl/>
              <w:jc w:val="center"/>
              <w:rPr>
                <w:rFonts w:hint="eastAsia" w:ascii="仿宋_GB2312" w:eastAsia="仿宋_GB2312"/>
                <w:kern w:val="0"/>
                <w:szCs w:val="21"/>
              </w:rPr>
            </w:pPr>
            <w:r>
              <w:rPr>
                <w:rFonts w:hint="eastAsia" w:ascii="仿宋_GB2312" w:hAnsi="宋体" w:eastAsia="仿宋_GB2312"/>
                <w:kern w:val="0"/>
                <w:szCs w:val="21"/>
              </w:rPr>
              <w:t>良</w:t>
            </w:r>
          </w:p>
        </w:tc>
        <w:tc>
          <w:tcPr>
            <w:tcW w:w="936" w:type="dxa"/>
            <w:tcBorders>
              <w:top w:val="nil"/>
              <w:left w:val="nil"/>
              <w:bottom w:val="single" w:color="auto" w:sz="4" w:space="0"/>
              <w:right w:val="single" w:color="auto" w:sz="4" w:space="0"/>
            </w:tcBorders>
            <w:noWrap w:val="0"/>
            <w:vAlign w:val="center"/>
          </w:tcPr>
          <w:p>
            <w:pPr>
              <w:widowControl/>
              <w:jc w:val="center"/>
              <w:rPr>
                <w:rFonts w:hint="eastAsia" w:ascii="仿宋_GB2312" w:eastAsia="仿宋_GB2312"/>
                <w:kern w:val="0"/>
                <w:szCs w:val="21"/>
              </w:rPr>
            </w:pPr>
            <w:r>
              <w:rPr>
                <w:rFonts w:hint="eastAsia" w:ascii="仿宋_GB2312" w:eastAsia="仿宋_GB2312"/>
                <w:kern w:val="0"/>
                <w:szCs w:val="21"/>
              </w:rPr>
              <w:t>5-7</w:t>
            </w:r>
          </w:p>
        </w:tc>
        <w:tc>
          <w:tcPr>
            <w:tcW w:w="770" w:type="dxa"/>
            <w:vMerge w:val="continue"/>
            <w:tcBorders>
              <w:top w:val="nil"/>
              <w:left w:val="single" w:color="auto" w:sz="4" w:space="0"/>
              <w:bottom w:val="single" w:color="auto" w:sz="4" w:space="0"/>
              <w:right w:val="single" w:color="auto" w:sz="8" w:space="0"/>
            </w:tcBorders>
            <w:noWrap w:val="0"/>
            <w:vAlign w:val="center"/>
          </w:tcPr>
          <w:p>
            <w:pPr>
              <w:widowControl/>
              <w:jc w:val="left"/>
              <w:rPr>
                <w:rFonts w:hint="eastAsia" w:ascii="仿宋_GB2312" w:eastAsia="仿宋_GB2312"/>
                <w:kern w:val="0"/>
                <w:szCs w:val="21"/>
              </w:rPr>
            </w:pPr>
          </w:p>
        </w:tc>
      </w:tr>
      <w:tr>
        <w:tblPrEx>
          <w:tblCellMar>
            <w:top w:w="0" w:type="dxa"/>
            <w:left w:w="108" w:type="dxa"/>
            <w:bottom w:w="0" w:type="dxa"/>
            <w:right w:w="108" w:type="dxa"/>
          </w:tblCellMar>
        </w:tblPrEx>
        <w:trPr>
          <w:wBefore w:w="0" w:type="dxa"/>
          <w:wAfter w:w="0" w:type="dxa"/>
          <w:trHeight w:val="268" w:hRule="atLeast"/>
          <w:jc w:val="center"/>
        </w:trPr>
        <w:tc>
          <w:tcPr>
            <w:tcW w:w="1540" w:type="dxa"/>
            <w:vMerge w:val="continue"/>
            <w:tcBorders>
              <w:top w:val="nil"/>
              <w:left w:val="single" w:color="auto" w:sz="8" w:space="0"/>
              <w:bottom w:val="single" w:color="auto" w:sz="4" w:space="0"/>
              <w:right w:val="single" w:color="auto" w:sz="4" w:space="0"/>
            </w:tcBorders>
            <w:noWrap w:val="0"/>
            <w:vAlign w:val="center"/>
          </w:tcPr>
          <w:p>
            <w:pPr>
              <w:widowControl/>
              <w:jc w:val="left"/>
              <w:rPr>
                <w:rFonts w:hint="eastAsia" w:ascii="仿宋_GB2312" w:eastAsia="仿宋_GB2312"/>
                <w:kern w:val="0"/>
                <w:szCs w:val="21"/>
              </w:rPr>
            </w:pPr>
          </w:p>
        </w:tc>
        <w:tc>
          <w:tcPr>
            <w:tcW w:w="560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仿宋_GB2312" w:eastAsia="仿宋_GB2312"/>
                <w:kern w:val="0"/>
                <w:szCs w:val="21"/>
              </w:rPr>
            </w:pPr>
          </w:p>
        </w:tc>
        <w:tc>
          <w:tcPr>
            <w:tcW w:w="480" w:type="dxa"/>
            <w:tcBorders>
              <w:top w:val="nil"/>
              <w:left w:val="nil"/>
              <w:bottom w:val="single" w:color="auto" w:sz="4" w:space="0"/>
              <w:right w:val="single" w:color="auto" w:sz="4" w:space="0"/>
            </w:tcBorders>
            <w:noWrap w:val="0"/>
            <w:vAlign w:val="center"/>
          </w:tcPr>
          <w:p>
            <w:pPr>
              <w:widowControl/>
              <w:jc w:val="center"/>
              <w:rPr>
                <w:rFonts w:hint="eastAsia" w:ascii="仿宋_GB2312" w:eastAsia="仿宋_GB2312"/>
                <w:kern w:val="0"/>
                <w:szCs w:val="21"/>
              </w:rPr>
            </w:pPr>
            <w:r>
              <w:rPr>
                <w:rFonts w:hint="eastAsia" w:ascii="仿宋_GB2312" w:hAnsi="宋体" w:eastAsia="仿宋_GB2312"/>
                <w:kern w:val="0"/>
                <w:szCs w:val="21"/>
              </w:rPr>
              <w:t>中</w:t>
            </w:r>
          </w:p>
        </w:tc>
        <w:tc>
          <w:tcPr>
            <w:tcW w:w="936" w:type="dxa"/>
            <w:tcBorders>
              <w:top w:val="nil"/>
              <w:left w:val="nil"/>
              <w:bottom w:val="single" w:color="auto" w:sz="4" w:space="0"/>
              <w:right w:val="single" w:color="auto" w:sz="4" w:space="0"/>
            </w:tcBorders>
            <w:noWrap w:val="0"/>
            <w:vAlign w:val="center"/>
          </w:tcPr>
          <w:p>
            <w:pPr>
              <w:widowControl/>
              <w:jc w:val="center"/>
              <w:rPr>
                <w:rFonts w:hint="eastAsia" w:ascii="仿宋_GB2312" w:eastAsia="仿宋_GB2312"/>
                <w:kern w:val="0"/>
                <w:szCs w:val="21"/>
              </w:rPr>
            </w:pPr>
            <w:r>
              <w:rPr>
                <w:rFonts w:hint="eastAsia" w:ascii="仿宋_GB2312" w:eastAsia="仿宋_GB2312"/>
                <w:kern w:val="0"/>
                <w:szCs w:val="21"/>
              </w:rPr>
              <w:t>2-4</w:t>
            </w:r>
          </w:p>
        </w:tc>
        <w:tc>
          <w:tcPr>
            <w:tcW w:w="770" w:type="dxa"/>
            <w:vMerge w:val="continue"/>
            <w:tcBorders>
              <w:top w:val="nil"/>
              <w:left w:val="single" w:color="auto" w:sz="4" w:space="0"/>
              <w:bottom w:val="single" w:color="auto" w:sz="4" w:space="0"/>
              <w:right w:val="single" w:color="auto" w:sz="8" w:space="0"/>
            </w:tcBorders>
            <w:noWrap w:val="0"/>
            <w:vAlign w:val="center"/>
          </w:tcPr>
          <w:p>
            <w:pPr>
              <w:widowControl/>
              <w:jc w:val="left"/>
              <w:rPr>
                <w:rFonts w:hint="eastAsia" w:ascii="仿宋_GB2312" w:eastAsia="仿宋_GB2312"/>
                <w:kern w:val="0"/>
                <w:szCs w:val="21"/>
              </w:rPr>
            </w:pPr>
          </w:p>
        </w:tc>
      </w:tr>
      <w:tr>
        <w:tblPrEx>
          <w:tblCellMar>
            <w:top w:w="0" w:type="dxa"/>
            <w:left w:w="108" w:type="dxa"/>
            <w:bottom w:w="0" w:type="dxa"/>
            <w:right w:w="108" w:type="dxa"/>
          </w:tblCellMar>
        </w:tblPrEx>
        <w:trPr>
          <w:wBefore w:w="0" w:type="dxa"/>
          <w:wAfter w:w="0" w:type="dxa"/>
          <w:trHeight w:val="103" w:hRule="atLeast"/>
          <w:jc w:val="center"/>
        </w:trPr>
        <w:tc>
          <w:tcPr>
            <w:tcW w:w="1540" w:type="dxa"/>
            <w:vMerge w:val="continue"/>
            <w:tcBorders>
              <w:top w:val="nil"/>
              <w:left w:val="single" w:color="auto" w:sz="8" w:space="0"/>
              <w:bottom w:val="single" w:color="auto" w:sz="4" w:space="0"/>
              <w:right w:val="single" w:color="auto" w:sz="4" w:space="0"/>
            </w:tcBorders>
            <w:noWrap w:val="0"/>
            <w:vAlign w:val="center"/>
          </w:tcPr>
          <w:p>
            <w:pPr>
              <w:widowControl/>
              <w:jc w:val="left"/>
              <w:rPr>
                <w:rFonts w:hint="eastAsia" w:ascii="仿宋_GB2312" w:eastAsia="仿宋_GB2312"/>
                <w:kern w:val="0"/>
                <w:szCs w:val="21"/>
              </w:rPr>
            </w:pPr>
          </w:p>
        </w:tc>
        <w:tc>
          <w:tcPr>
            <w:tcW w:w="560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仿宋_GB2312" w:eastAsia="仿宋_GB2312"/>
                <w:kern w:val="0"/>
                <w:szCs w:val="21"/>
              </w:rPr>
            </w:pPr>
          </w:p>
        </w:tc>
        <w:tc>
          <w:tcPr>
            <w:tcW w:w="480" w:type="dxa"/>
            <w:tcBorders>
              <w:top w:val="nil"/>
              <w:left w:val="nil"/>
              <w:bottom w:val="single" w:color="auto" w:sz="4" w:space="0"/>
              <w:right w:val="single" w:color="auto" w:sz="4" w:space="0"/>
            </w:tcBorders>
            <w:noWrap w:val="0"/>
            <w:vAlign w:val="center"/>
          </w:tcPr>
          <w:p>
            <w:pPr>
              <w:widowControl/>
              <w:jc w:val="center"/>
              <w:rPr>
                <w:rFonts w:hint="eastAsia" w:ascii="仿宋_GB2312" w:eastAsia="仿宋_GB2312"/>
                <w:kern w:val="0"/>
                <w:szCs w:val="21"/>
              </w:rPr>
            </w:pPr>
            <w:r>
              <w:rPr>
                <w:rFonts w:hint="eastAsia" w:ascii="仿宋_GB2312" w:hAnsi="宋体" w:eastAsia="仿宋_GB2312"/>
                <w:kern w:val="0"/>
                <w:szCs w:val="21"/>
              </w:rPr>
              <w:t>差</w:t>
            </w:r>
          </w:p>
        </w:tc>
        <w:tc>
          <w:tcPr>
            <w:tcW w:w="936" w:type="dxa"/>
            <w:tcBorders>
              <w:top w:val="nil"/>
              <w:left w:val="nil"/>
              <w:bottom w:val="single" w:color="auto" w:sz="4" w:space="0"/>
              <w:right w:val="single" w:color="auto" w:sz="4" w:space="0"/>
            </w:tcBorders>
            <w:noWrap w:val="0"/>
            <w:vAlign w:val="center"/>
          </w:tcPr>
          <w:p>
            <w:pPr>
              <w:widowControl/>
              <w:jc w:val="center"/>
              <w:rPr>
                <w:rFonts w:hint="eastAsia" w:ascii="仿宋_GB2312" w:eastAsia="仿宋_GB2312"/>
                <w:kern w:val="0"/>
                <w:szCs w:val="21"/>
              </w:rPr>
            </w:pPr>
            <w:r>
              <w:rPr>
                <w:rFonts w:hint="eastAsia" w:ascii="仿宋_GB2312" w:eastAsia="仿宋_GB2312"/>
                <w:kern w:val="0"/>
                <w:szCs w:val="21"/>
              </w:rPr>
              <w:t>0-1</w:t>
            </w:r>
          </w:p>
        </w:tc>
        <w:tc>
          <w:tcPr>
            <w:tcW w:w="770" w:type="dxa"/>
            <w:vMerge w:val="continue"/>
            <w:tcBorders>
              <w:top w:val="nil"/>
              <w:left w:val="single" w:color="auto" w:sz="4" w:space="0"/>
              <w:bottom w:val="single" w:color="auto" w:sz="4" w:space="0"/>
              <w:right w:val="single" w:color="auto" w:sz="8" w:space="0"/>
            </w:tcBorders>
            <w:noWrap w:val="0"/>
            <w:vAlign w:val="center"/>
          </w:tcPr>
          <w:p>
            <w:pPr>
              <w:widowControl/>
              <w:jc w:val="left"/>
              <w:rPr>
                <w:rFonts w:hint="eastAsia" w:ascii="仿宋_GB2312" w:eastAsia="仿宋_GB2312"/>
                <w:kern w:val="0"/>
                <w:szCs w:val="21"/>
              </w:rPr>
            </w:pPr>
          </w:p>
        </w:tc>
      </w:tr>
      <w:tr>
        <w:tblPrEx>
          <w:tblCellMar>
            <w:top w:w="0" w:type="dxa"/>
            <w:left w:w="108" w:type="dxa"/>
            <w:bottom w:w="0" w:type="dxa"/>
            <w:right w:w="108" w:type="dxa"/>
          </w:tblCellMar>
        </w:tblPrEx>
        <w:trPr>
          <w:wBefore w:w="0" w:type="dxa"/>
          <w:wAfter w:w="0" w:type="dxa"/>
          <w:trHeight w:val="559" w:hRule="atLeast"/>
          <w:jc w:val="center"/>
        </w:trPr>
        <w:tc>
          <w:tcPr>
            <w:tcW w:w="1540" w:type="dxa"/>
            <w:tcBorders>
              <w:top w:val="nil"/>
              <w:left w:val="single" w:color="auto" w:sz="8" w:space="0"/>
              <w:bottom w:val="single" w:color="auto" w:sz="8" w:space="0"/>
              <w:right w:val="single" w:color="auto" w:sz="4" w:space="0"/>
            </w:tcBorders>
            <w:noWrap w:val="0"/>
            <w:vAlign w:val="center"/>
          </w:tcPr>
          <w:p>
            <w:pPr>
              <w:widowControl/>
              <w:jc w:val="center"/>
              <w:rPr>
                <w:rFonts w:hint="eastAsia" w:ascii="仿宋_GB2312" w:eastAsia="仿宋_GB2312"/>
                <w:kern w:val="0"/>
                <w:szCs w:val="21"/>
              </w:rPr>
            </w:pPr>
            <w:r>
              <w:rPr>
                <w:rFonts w:hint="eastAsia" w:ascii="仿宋_GB2312" w:hAnsi="宋体" w:eastAsia="仿宋_GB2312"/>
                <w:kern w:val="0"/>
                <w:szCs w:val="21"/>
              </w:rPr>
              <w:t>总</w:t>
            </w:r>
            <w:r>
              <w:rPr>
                <w:rFonts w:hint="eastAsia" w:ascii="仿宋_GB2312" w:eastAsia="仿宋_GB2312"/>
                <w:kern w:val="0"/>
                <w:szCs w:val="21"/>
              </w:rPr>
              <w:t xml:space="preserve"> </w:t>
            </w:r>
            <w:r>
              <w:rPr>
                <w:rFonts w:hint="eastAsia" w:ascii="仿宋_GB2312" w:hAnsi="宋体" w:eastAsia="仿宋_GB2312"/>
                <w:kern w:val="0"/>
                <w:szCs w:val="21"/>
              </w:rPr>
              <w:t>分</w:t>
            </w:r>
          </w:p>
        </w:tc>
        <w:tc>
          <w:tcPr>
            <w:tcW w:w="7786" w:type="dxa"/>
            <w:gridSpan w:val="4"/>
            <w:tcBorders>
              <w:top w:val="single" w:color="auto" w:sz="4" w:space="0"/>
              <w:left w:val="nil"/>
              <w:bottom w:val="single" w:color="auto" w:sz="8" w:space="0"/>
              <w:right w:val="single" w:color="auto" w:sz="8" w:space="0"/>
            </w:tcBorders>
            <w:noWrap w:val="0"/>
            <w:vAlign w:val="bottom"/>
          </w:tcPr>
          <w:p>
            <w:pPr>
              <w:widowControl/>
              <w:jc w:val="left"/>
              <w:rPr>
                <w:rFonts w:hint="eastAsia" w:ascii="仿宋_GB2312" w:eastAsia="仿宋_GB2312"/>
                <w:kern w:val="0"/>
                <w:szCs w:val="21"/>
              </w:rPr>
            </w:pPr>
            <w:r>
              <w:rPr>
                <w:rFonts w:hint="eastAsia" w:ascii="仿宋_GB2312" w:hAnsi="宋体" w:eastAsia="仿宋_GB2312"/>
                <w:kern w:val="0"/>
                <w:szCs w:val="21"/>
              </w:rPr>
              <w:t>　</w:t>
            </w:r>
          </w:p>
          <w:p>
            <w:pPr>
              <w:widowControl/>
              <w:jc w:val="left"/>
              <w:rPr>
                <w:rFonts w:hint="eastAsia" w:ascii="仿宋_GB2312" w:eastAsia="仿宋_GB2312"/>
                <w:kern w:val="0"/>
                <w:szCs w:val="21"/>
              </w:rPr>
            </w:pPr>
            <w:r>
              <w:rPr>
                <w:rFonts w:hint="eastAsia" w:ascii="仿宋_GB2312" w:hAnsi="宋体" w:eastAsia="仿宋_GB2312"/>
                <w:kern w:val="0"/>
                <w:szCs w:val="21"/>
              </w:rPr>
              <w:t>　</w:t>
            </w:r>
          </w:p>
        </w:tc>
      </w:tr>
      <w:bookmarkEnd w:id="36"/>
    </w:tbl>
    <w:p>
      <w:pPr>
        <w:spacing w:line="600" w:lineRule="exact"/>
        <w:rPr>
          <w:rFonts w:hint="eastAsia" w:ascii="仿宋_GB2312" w:eastAsia="仿宋_GB2312"/>
          <w:sz w:val="32"/>
          <w:szCs w:val="32"/>
        </w:rPr>
      </w:pPr>
    </w:p>
    <w:sectPr>
      <w:pgSz w:w="11906" w:h="16838"/>
      <w:pgMar w:top="1440" w:right="1797" w:bottom="1440" w:left="1797"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Arial">
    <w:panose1 w:val="020B0604020202020204"/>
    <w:charset w:val="00"/>
    <w:family w:val="swiss"/>
    <w:pitch w:val="default"/>
    <w:sig w:usb0="E0002EFF" w:usb1="C000785B" w:usb2="00000009" w:usb3="00000000" w:csb0="400001FF" w:csb1="FFFF0000"/>
  </w:font>
  <w:font w:name="方正小标宋简体">
    <w:panose1 w:val="02010601030101010101"/>
    <w:charset w:val="86"/>
    <w:family w:val="auto"/>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楷体_GB2312">
    <w:altName w:val="楷体"/>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center" w:y="1"/>
      <w:rPr>
        <w:rStyle w:val="23"/>
      </w:rPr>
    </w:pPr>
    <w:r>
      <w:fldChar w:fldCharType="begin"/>
    </w:r>
    <w:r>
      <w:rPr>
        <w:rStyle w:val="23"/>
      </w:rPr>
      <w:instrText xml:space="preserve">PAGE  </w:instrText>
    </w:r>
    <w:r>
      <w:fldChar w:fldCharType="separate"/>
    </w:r>
    <w:r>
      <w:rPr>
        <w:rStyle w:val="23"/>
        <w:lang/>
      </w:rPr>
      <w:t>3</w:t>
    </w:r>
    <w:r>
      <w:fldChar w:fldCharType="end"/>
    </w:r>
  </w:p>
  <w:p>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center" w:y="1"/>
      <w:rPr>
        <w:rStyle w:val="23"/>
      </w:rPr>
    </w:pPr>
    <w:r>
      <w:fldChar w:fldCharType="begin"/>
    </w:r>
    <w:r>
      <w:rPr>
        <w:rStyle w:val="23"/>
      </w:rPr>
      <w:instrText xml:space="preserve">PAGE  </w:instrText>
    </w:r>
    <w:r>
      <w:fldChar w:fldCharType="end"/>
    </w:r>
  </w:p>
  <w:p>
    <w:pPr>
      <w:pStyle w:val="1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0F6E"/>
    <w:rsid w:val="000030D5"/>
    <w:rsid w:val="000124BB"/>
    <w:rsid w:val="00012958"/>
    <w:rsid w:val="00020AA6"/>
    <w:rsid w:val="00035E78"/>
    <w:rsid w:val="000412EC"/>
    <w:rsid w:val="000416F2"/>
    <w:rsid w:val="00043CEC"/>
    <w:rsid w:val="000657BA"/>
    <w:rsid w:val="000766E8"/>
    <w:rsid w:val="000B03EF"/>
    <w:rsid w:val="000B0F40"/>
    <w:rsid w:val="000B2628"/>
    <w:rsid w:val="000D720C"/>
    <w:rsid w:val="000F52D2"/>
    <w:rsid w:val="00111270"/>
    <w:rsid w:val="0016528B"/>
    <w:rsid w:val="00166CC5"/>
    <w:rsid w:val="0017416A"/>
    <w:rsid w:val="001804F9"/>
    <w:rsid w:val="001813FB"/>
    <w:rsid w:val="001833D8"/>
    <w:rsid w:val="00183E7B"/>
    <w:rsid w:val="0019423F"/>
    <w:rsid w:val="001A431F"/>
    <w:rsid w:val="001B4F29"/>
    <w:rsid w:val="001B62DC"/>
    <w:rsid w:val="001F0D4F"/>
    <w:rsid w:val="0021456A"/>
    <w:rsid w:val="00221A2F"/>
    <w:rsid w:val="002267E9"/>
    <w:rsid w:val="0023196B"/>
    <w:rsid w:val="002329C8"/>
    <w:rsid w:val="00234635"/>
    <w:rsid w:val="0026216A"/>
    <w:rsid w:val="00283045"/>
    <w:rsid w:val="00291325"/>
    <w:rsid w:val="002A35C2"/>
    <w:rsid w:val="002B2958"/>
    <w:rsid w:val="002B4A50"/>
    <w:rsid w:val="002B7B29"/>
    <w:rsid w:val="002D2E2B"/>
    <w:rsid w:val="002F1063"/>
    <w:rsid w:val="002F4E68"/>
    <w:rsid w:val="0032738A"/>
    <w:rsid w:val="003343DB"/>
    <w:rsid w:val="00340668"/>
    <w:rsid w:val="00347F10"/>
    <w:rsid w:val="003651B2"/>
    <w:rsid w:val="00370514"/>
    <w:rsid w:val="003739C8"/>
    <w:rsid w:val="003C2011"/>
    <w:rsid w:val="003C3936"/>
    <w:rsid w:val="003D0B0A"/>
    <w:rsid w:val="003D7A94"/>
    <w:rsid w:val="003F7579"/>
    <w:rsid w:val="00406865"/>
    <w:rsid w:val="00415052"/>
    <w:rsid w:val="00430CDC"/>
    <w:rsid w:val="00432000"/>
    <w:rsid w:val="00432519"/>
    <w:rsid w:val="00455AA5"/>
    <w:rsid w:val="00464DCB"/>
    <w:rsid w:val="0046591B"/>
    <w:rsid w:val="00492624"/>
    <w:rsid w:val="004C4D91"/>
    <w:rsid w:val="004E625A"/>
    <w:rsid w:val="004E6E71"/>
    <w:rsid w:val="004F04A2"/>
    <w:rsid w:val="004F2810"/>
    <w:rsid w:val="004F6572"/>
    <w:rsid w:val="005144A2"/>
    <w:rsid w:val="00531BC9"/>
    <w:rsid w:val="005327F4"/>
    <w:rsid w:val="00550AE4"/>
    <w:rsid w:val="0055335C"/>
    <w:rsid w:val="00565407"/>
    <w:rsid w:val="00577257"/>
    <w:rsid w:val="005A3720"/>
    <w:rsid w:val="005A65E7"/>
    <w:rsid w:val="005A7E37"/>
    <w:rsid w:val="005B13A1"/>
    <w:rsid w:val="005E1EB6"/>
    <w:rsid w:val="00600DA0"/>
    <w:rsid w:val="006064C3"/>
    <w:rsid w:val="00611034"/>
    <w:rsid w:val="00624659"/>
    <w:rsid w:val="006429B5"/>
    <w:rsid w:val="006520BB"/>
    <w:rsid w:val="00693BE5"/>
    <w:rsid w:val="006956EC"/>
    <w:rsid w:val="006A2BD3"/>
    <w:rsid w:val="006D16D5"/>
    <w:rsid w:val="006E27F8"/>
    <w:rsid w:val="006E53C0"/>
    <w:rsid w:val="006F1702"/>
    <w:rsid w:val="006F29F8"/>
    <w:rsid w:val="007016D5"/>
    <w:rsid w:val="00710508"/>
    <w:rsid w:val="00714DA4"/>
    <w:rsid w:val="00732363"/>
    <w:rsid w:val="00744A0A"/>
    <w:rsid w:val="00745FD2"/>
    <w:rsid w:val="007514B3"/>
    <w:rsid w:val="00765A6E"/>
    <w:rsid w:val="00772CED"/>
    <w:rsid w:val="007859BC"/>
    <w:rsid w:val="00785EAB"/>
    <w:rsid w:val="00786163"/>
    <w:rsid w:val="00793478"/>
    <w:rsid w:val="00795141"/>
    <w:rsid w:val="007A50CE"/>
    <w:rsid w:val="007A697E"/>
    <w:rsid w:val="007B7138"/>
    <w:rsid w:val="00802C7E"/>
    <w:rsid w:val="008205EC"/>
    <w:rsid w:val="00840563"/>
    <w:rsid w:val="00853D0F"/>
    <w:rsid w:val="00872CFC"/>
    <w:rsid w:val="00885162"/>
    <w:rsid w:val="0089427E"/>
    <w:rsid w:val="008A2449"/>
    <w:rsid w:val="008C7A8C"/>
    <w:rsid w:val="008D007E"/>
    <w:rsid w:val="008D42EC"/>
    <w:rsid w:val="008F1881"/>
    <w:rsid w:val="00917B72"/>
    <w:rsid w:val="00952EE0"/>
    <w:rsid w:val="00962340"/>
    <w:rsid w:val="00974041"/>
    <w:rsid w:val="00990F6E"/>
    <w:rsid w:val="009A48E1"/>
    <w:rsid w:val="009B7B96"/>
    <w:rsid w:val="009E15B5"/>
    <w:rsid w:val="009E3509"/>
    <w:rsid w:val="009E58B0"/>
    <w:rsid w:val="009E768D"/>
    <w:rsid w:val="009F1632"/>
    <w:rsid w:val="009F1AAF"/>
    <w:rsid w:val="009F6F03"/>
    <w:rsid w:val="00A3261E"/>
    <w:rsid w:val="00A36955"/>
    <w:rsid w:val="00A51735"/>
    <w:rsid w:val="00A517A5"/>
    <w:rsid w:val="00A646BE"/>
    <w:rsid w:val="00A64DF9"/>
    <w:rsid w:val="00A655F3"/>
    <w:rsid w:val="00A65FBD"/>
    <w:rsid w:val="00A70976"/>
    <w:rsid w:val="00A953CA"/>
    <w:rsid w:val="00AA7D5E"/>
    <w:rsid w:val="00AB6E9F"/>
    <w:rsid w:val="00B10E20"/>
    <w:rsid w:val="00B35F5D"/>
    <w:rsid w:val="00B410A7"/>
    <w:rsid w:val="00B57BE9"/>
    <w:rsid w:val="00B73ECD"/>
    <w:rsid w:val="00B93BB8"/>
    <w:rsid w:val="00BC324F"/>
    <w:rsid w:val="00BD1E96"/>
    <w:rsid w:val="00BE09C1"/>
    <w:rsid w:val="00BE18CB"/>
    <w:rsid w:val="00BE4E18"/>
    <w:rsid w:val="00BF0120"/>
    <w:rsid w:val="00C00A4B"/>
    <w:rsid w:val="00C16808"/>
    <w:rsid w:val="00C24A4C"/>
    <w:rsid w:val="00C424BC"/>
    <w:rsid w:val="00C50EEB"/>
    <w:rsid w:val="00C510D0"/>
    <w:rsid w:val="00C51D38"/>
    <w:rsid w:val="00C54B20"/>
    <w:rsid w:val="00C55532"/>
    <w:rsid w:val="00C6776B"/>
    <w:rsid w:val="00C83364"/>
    <w:rsid w:val="00C90559"/>
    <w:rsid w:val="00CA01CD"/>
    <w:rsid w:val="00CB26A7"/>
    <w:rsid w:val="00CB4033"/>
    <w:rsid w:val="00CC1F19"/>
    <w:rsid w:val="00CC7727"/>
    <w:rsid w:val="00D2027C"/>
    <w:rsid w:val="00D34407"/>
    <w:rsid w:val="00D71494"/>
    <w:rsid w:val="00D715D5"/>
    <w:rsid w:val="00D76D05"/>
    <w:rsid w:val="00DA0AC8"/>
    <w:rsid w:val="00DB49BA"/>
    <w:rsid w:val="00DC34FD"/>
    <w:rsid w:val="00DD393C"/>
    <w:rsid w:val="00DE160E"/>
    <w:rsid w:val="00E12F39"/>
    <w:rsid w:val="00E238E9"/>
    <w:rsid w:val="00E3440A"/>
    <w:rsid w:val="00E571BD"/>
    <w:rsid w:val="00E7725F"/>
    <w:rsid w:val="00E84113"/>
    <w:rsid w:val="00E94AD8"/>
    <w:rsid w:val="00EA52FD"/>
    <w:rsid w:val="00EA7BAE"/>
    <w:rsid w:val="00EB044D"/>
    <w:rsid w:val="00EB0625"/>
    <w:rsid w:val="00EB234E"/>
    <w:rsid w:val="00EC08CE"/>
    <w:rsid w:val="00EC594A"/>
    <w:rsid w:val="00EC5FA7"/>
    <w:rsid w:val="00ED0DB2"/>
    <w:rsid w:val="00ED306F"/>
    <w:rsid w:val="00EF18F3"/>
    <w:rsid w:val="00F1445B"/>
    <w:rsid w:val="00F17F30"/>
    <w:rsid w:val="00F27E48"/>
    <w:rsid w:val="00F50A99"/>
    <w:rsid w:val="00F96438"/>
    <w:rsid w:val="00FB35E7"/>
    <w:rsid w:val="00FD4C6C"/>
    <w:rsid w:val="00FD6C0C"/>
    <w:rsid w:val="00FF5092"/>
    <w:rsid w:val="06EF66D2"/>
    <w:rsid w:val="1D661733"/>
    <w:rsid w:val="543C6DF2"/>
    <w:rsid w:val="59C103E0"/>
    <w:rsid w:val="6A2623CF"/>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name="toc 1"/>
    <w:lsdException w:unhideWhenUsed="0" w:uiPriority="0" w:name="toc 2"/>
    <w:lsdException w:unhideWhenUsed="0" w:uiPriority="0" w:name="toc 3"/>
    <w:lsdException w:unhideWhenUsed="0" w:uiPriority="0" w:name="toc 4"/>
    <w:lsdException w:unhideWhenUsed="0" w:uiPriority="0" w:name="toc 5"/>
    <w:lsdException w:unhideWhenUsed="0" w:uiPriority="0" w:name="toc 6"/>
    <w:lsdException w:unhideWhenUsed="0" w:uiPriority="0" w:name="toc 7"/>
    <w:lsdException w:unhideWhenUsed="0" w:uiPriority="0" w:name="toc 8"/>
    <w:lsdException w:unhideWhenUsed="0" w:uiPriority="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name="header"/>
    <w:lsdException w:unhideWhenUsed="0" w:uiPriority="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paragraph" w:styleId="2">
    <w:name w:val="heading 1"/>
    <w:basedOn w:val="1"/>
    <w:next w:val="1"/>
    <w:link w:val="28"/>
    <w:qFormat/>
    <w:uiPriority w:val="0"/>
    <w:pPr>
      <w:keepNext/>
      <w:keepLines/>
      <w:spacing w:beforeLines="10" w:line="360" w:lineRule="auto"/>
      <w:jc w:val="center"/>
      <w:outlineLvl w:val="0"/>
    </w:pPr>
    <w:rPr>
      <w:rFonts w:eastAsia="仿宋_GB2312"/>
      <w:b/>
      <w:bCs/>
      <w:kern w:val="44"/>
      <w:sz w:val="36"/>
      <w:szCs w:val="44"/>
    </w:rPr>
  </w:style>
  <w:style w:type="paragraph" w:styleId="3">
    <w:name w:val="heading 2"/>
    <w:basedOn w:val="1"/>
    <w:link w:val="27"/>
    <w:qFormat/>
    <w:uiPriority w:val="0"/>
    <w:pPr>
      <w:widowControl/>
      <w:spacing w:before="31" w:after="31" w:line="360" w:lineRule="auto"/>
      <w:jc w:val="left"/>
      <w:outlineLvl w:val="1"/>
    </w:pPr>
    <w:rPr>
      <w:rFonts w:ascii="Arial" w:hAnsi="Arial" w:cs="Arial"/>
      <w:b/>
      <w:bCs/>
      <w:kern w:val="0"/>
      <w:sz w:val="32"/>
      <w:szCs w:val="32"/>
    </w:rPr>
  </w:style>
  <w:style w:type="paragraph" w:styleId="4">
    <w:name w:val="heading 3"/>
    <w:basedOn w:val="1"/>
    <w:next w:val="1"/>
    <w:uiPriority w:val="0"/>
    <w:pPr>
      <w:keepNext/>
      <w:keepLines/>
      <w:spacing w:before="260" w:after="260" w:line="416" w:lineRule="auto"/>
      <w:outlineLvl w:val="2"/>
    </w:pPr>
    <w:rPr>
      <w:b/>
      <w:bCs/>
      <w:sz w:val="32"/>
      <w:szCs w:val="32"/>
    </w:rPr>
  </w:style>
  <w:style w:type="character" w:default="1" w:styleId="21">
    <w:name w:val="Default Paragraph Font"/>
    <w:semiHidden/>
    <w:uiPriority w:val="0"/>
  </w:style>
  <w:style w:type="table" w:default="1" w:styleId="19">
    <w:name w:val="Normal Table"/>
    <w:semiHidden/>
    <w:uiPriority w:val="0"/>
    <w:tblPr>
      <w:tblStyle w:val="19"/>
      <w:tblCellMar>
        <w:top w:w="0" w:type="dxa"/>
        <w:left w:w="108" w:type="dxa"/>
        <w:bottom w:w="0" w:type="dxa"/>
        <w:right w:w="108" w:type="dxa"/>
      </w:tblCellMar>
    </w:tblPr>
  </w:style>
  <w:style w:type="paragraph" w:styleId="5">
    <w:name w:val="toc 7"/>
    <w:basedOn w:val="1"/>
    <w:next w:val="1"/>
    <w:semiHidden/>
    <w:uiPriority w:val="0"/>
    <w:pPr>
      <w:ind w:left="1260"/>
      <w:jc w:val="left"/>
    </w:pPr>
    <w:rPr>
      <w:sz w:val="18"/>
      <w:szCs w:val="18"/>
    </w:rPr>
  </w:style>
  <w:style w:type="paragraph" w:styleId="6">
    <w:name w:val="Body Text Indent"/>
    <w:basedOn w:val="1"/>
    <w:link w:val="30"/>
    <w:uiPriority w:val="0"/>
    <w:pPr>
      <w:ind w:firstLine="420" w:firstLineChars="200"/>
    </w:pPr>
    <w:rPr>
      <w:lang w:bidi="he-IL"/>
    </w:rPr>
  </w:style>
  <w:style w:type="paragraph" w:styleId="7">
    <w:name w:val="toc 5"/>
    <w:basedOn w:val="1"/>
    <w:next w:val="1"/>
    <w:semiHidden/>
    <w:uiPriority w:val="0"/>
    <w:pPr>
      <w:ind w:left="840"/>
      <w:jc w:val="left"/>
    </w:pPr>
    <w:rPr>
      <w:sz w:val="18"/>
      <w:szCs w:val="18"/>
    </w:rPr>
  </w:style>
  <w:style w:type="paragraph" w:styleId="8">
    <w:name w:val="toc 3"/>
    <w:basedOn w:val="1"/>
    <w:next w:val="1"/>
    <w:semiHidden/>
    <w:uiPriority w:val="0"/>
    <w:pPr>
      <w:ind w:left="420"/>
      <w:jc w:val="left"/>
    </w:pPr>
    <w:rPr>
      <w:i/>
      <w:iCs/>
      <w:sz w:val="20"/>
      <w:szCs w:val="20"/>
    </w:rPr>
  </w:style>
  <w:style w:type="paragraph" w:styleId="9">
    <w:name w:val="toc 8"/>
    <w:basedOn w:val="1"/>
    <w:next w:val="1"/>
    <w:semiHidden/>
    <w:uiPriority w:val="0"/>
    <w:pPr>
      <w:ind w:left="1470"/>
      <w:jc w:val="left"/>
    </w:pPr>
    <w:rPr>
      <w:sz w:val="18"/>
      <w:szCs w:val="18"/>
    </w:rPr>
  </w:style>
  <w:style w:type="paragraph" w:styleId="10">
    <w:name w:val="Date"/>
    <w:basedOn w:val="1"/>
    <w:next w:val="1"/>
    <w:link w:val="26"/>
    <w:uiPriority w:val="0"/>
    <w:pPr>
      <w:ind w:left="100" w:leftChars="2500"/>
    </w:pPr>
    <w:rPr>
      <w:rFonts w:eastAsia="Times New Roman"/>
      <w:kern w:val="0"/>
      <w:sz w:val="20"/>
      <w:lang/>
    </w:rPr>
  </w:style>
  <w:style w:type="paragraph" w:styleId="11">
    <w:name w:val="footer"/>
    <w:basedOn w:val="1"/>
    <w:link w:val="33"/>
    <w:semiHidden/>
    <w:uiPriority w:val="0"/>
    <w:pPr>
      <w:tabs>
        <w:tab w:val="center" w:pos="4153"/>
        <w:tab w:val="right" w:pos="8306"/>
      </w:tabs>
      <w:snapToGrid w:val="0"/>
      <w:jc w:val="left"/>
    </w:pPr>
    <w:rPr>
      <w:rFonts w:ascii="Calibri" w:hAnsi="Calibri"/>
      <w:sz w:val="18"/>
      <w:szCs w:val="18"/>
    </w:rPr>
  </w:style>
  <w:style w:type="paragraph" w:styleId="12">
    <w:name w:val="header"/>
    <w:basedOn w:val="1"/>
    <w:link w:val="25"/>
    <w:semiHidden/>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13">
    <w:name w:val="toc 1"/>
    <w:basedOn w:val="1"/>
    <w:next w:val="1"/>
    <w:semiHidden/>
    <w:uiPriority w:val="0"/>
    <w:pPr>
      <w:spacing w:before="120" w:after="120"/>
      <w:jc w:val="left"/>
    </w:pPr>
    <w:rPr>
      <w:b/>
      <w:bCs/>
      <w:caps/>
      <w:sz w:val="20"/>
      <w:szCs w:val="20"/>
    </w:rPr>
  </w:style>
  <w:style w:type="paragraph" w:styleId="14">
    <w:name w:val="toc 4"/>
    <w:basedOn w:val="1"/>
    <w:next w:val="1"/>
    <w:semiHidden/>
    <w:uiPriority w:val="0"/>
    <w:pPr>
      <w:ind w:left="630"/>
      <w:jc w:val="left"/>
    </w:pPr>
    <w:rPr>
      <w:sz w:val="18"/>
      <w:szCs w:val="18"/>
    </w:rPr>
  </w:style>
  <w:style w:type="paragraph" w:styleId="15">
    <w:name w:val="toc 6"/>
    <w:basedOn w:val="1"/>
    <w:next w:val="1"/>
    <w:semiHidden/>
    <w:uiPriority w:val="0"/>
    <w:pPr>
      <w:ind w:left="1050"/>
      <w:jc w:val="left"/>
    </w:pPr>
    <w:rPr>
      <w:sz w:val="18"/>
      <w:szCs w:val="18"/>
    </w:rPr>
  </w:style>
  <w:style w:type="paragraph" w:styleId="16">
    <w:name w:val="toc 2"/>
    <w:basedOn w:val="1"/>
    <w:next w:val="1"/>
    <w:semiHidden/>
    <w:uiPriority w:val="0"/>
    <w:pPr>
      <w:ind w:left="210"/>
      <w:jc w:val="left"/>
    </w:pPr>
    <w:rPr>
      <w:smallCaps/>
      <w:sz w:val="20"/>
      <w:szCs w:val="20"/>
    </w:rPr>
  </w:style>
  <w:style w:type="paragraph" w:styleId="17">
    <w:name w:val="toc 9"/>
    <w:basedOn w:val="1"/>
    <w:next w:val="1"/>
    <w:semiHidden/>
    <w:uiPriority w:val="0"/>
    <w:pPr>
      <w:ind w:left="1680"/>
      <w:jc w:val="left"/>
    </w:pPr>
    <w:rPr>
      <w:sz w:val="18"/>
      <w:szCs w:val="18"/>
    </w:rPr>
  </w:style>
  <w:style w:type="paragraph" w:styleId="18">
    <w:name w:val="Normal (Web)"/>
    <w:basedOn w:val="1"/>
    <w:unhideWhenUsed/>
    <w:uiPriority w:val="0"/>
    <w:pPr>
      <w:widowControl/>
      <w:spacing w:before="100" w:beforeAutospacing="1" w:after="100" w:afterAutospacing="1"/>
      <w:jc w:val="left"/>
    </w:pPr>
    <w:rPr>
      <w:rFonts w:ascii="宋体" w:hAnsi="宋体" w:cs="宋体"/>
      <w:kern w:val="0"/>
      <w:sz w:val="24"/>
    </w:rPr>
  </w:style>
  <w:style w:type="table" w:styleId="20">
    <w:name w:val="Table Grid"/>
    <w:basedOn w:val="19"/>
    <w:uiPriority w:val="0"/>
    <w:pPr>
      <w:widowControl w:val="0"/>
      <w:jc w:val="both"/>
    </w:pPr>
    <w:tblPr>
      <w:tblStyle w:val="19"/>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Strong"/>
    <w:basedOn w:val="21"/>
    <w:qFormat/>
    <w:uiPriority w:val="0"/>
    <w:rPr>
      <w:b/>
      <w:bCs/>
    </w:rPr>
  </w:style>
  <w:style w:type="character" w:styleId="23">
    <w:name w:val="page number"/>
    <w:basedOn w:val="21"/>
    <w:uiPriority w:val="0"/>
    <w:rPr>
      <w:rFonts w:hint="default" w:ascii="Times New Roman" w:hAnsi="Times New Roman" w:cs="Times New Roman"/>
    </w:rPr>
  </w:style>
  <w:style w:type="character" w:styleId="24">
    <w:name w:val="Hyperlink"/>
    <w:basedOn w:val="21"/>
    <w:uiPriority w:val="0"/>
    <w:rPr>
      <w:color w:val="0000FF"/>
      <w:u w:val="single"/>
    </w:rPr>
  </w:style>
  <w:style w:type="character" w:customStyle="1" w:styleId="25">
    <w:name w:val=" Char Char3"/>
    <w:basedOn w:val="21"/>
    <w:link w:val="12"/>
    <w:semiHidden/>
    <w:locked/>
    <w:uiPriority w:val="0"/>
    <w:rPr>
      <w:rFonts w:ascii="Calibri" w:hAnsi="Calibri" w:eastAsia="宋体"/>
      <w:kern w:val="2"/>
      <w:sz w:val="18"/>
      <w:szCs w:val="18"/>
      <w:lang w:val="en-US" w:eastAsia="zh-CN" w:bidi="ar-SA"/>
    </w:rPr>
  </w:style>
  <w:style w:type="character" w:customStyle="1" w:styleId="26">
    <w:name w:val=" Char Char"/>
    <w:basedOn w:val="21"/>
    <w:link w:val="10"/>
    <w:locked/>
    <w:uiPriority w:val="0"/>
    <w:rPr>
      <w:szCs w:val="24"/>
      <w:lang w:bidi="ar-SA"/>
    </w:rPr>
  </w:style>
  <w:style w:type="character" w:customStyle="1" w:styleId="27">
    <w:name w:val=" Char Char4"/>
    <w:basedOn w:val="21"/>
    <w:link w:val="3"/>
    <w:locked/>
    <w:uiPriority w:val="0"/>
    <w:rPr>
      <w:rFonts w:ascii="Arial" w:hAnsi="Arial" w:eastAsia="宋体" w:cs="Arial"/>
      <w:b/>
      <w:bCs/>
      <w:sz w:val="32"/>
      <w:szCs w:val="32"/>
      <w:lang w:val="en-US" w:eastAsia="zh-CN" w:bidi="ar-SA"/>
    </w:rPr>
  </w:style>
  <w:style w:type="character" w:customStyle="1" w:styleId="28">
    <w:name w:val=" Char Char5"/>
    <w:basedOn w:val="21"/>
    <w:link w:val="2"/>
    <w:locked/>
    <w:uiPriority w:val="0"/>
    <w:rPr>
      <w:rFonts w:eastAsia="仿宋_GB2312"/>
      <w:b/>
      <w:bCs/>
      <w:kern w:val="44"/>
      <w:sz w:val="36"/>
      <w:szCs w:val="44"/>
      <w:lang w:val="en-US" w:eastAsia="zh-CN" w:bidi="ar-SA"/>
    </w:rPr>
  </w:style>
  <w:style w:type="character" w:customStyle="1" w:styleId="29">
    <w:name w:val="apple-style-span"/>
    <w:basedOn w:val="21"/>
    <w:uiPriority w:val="0"/>
    <w:rPr>
      <w:rFonts w:hint="default" w:ascii="Times New Roman" w:hAnsi="Times New Roman" w:cs="Times New Roman"/>
    </w:rPr>
  </w:style>
  <w:style w:type="character" w:customStyle="1" w:styleId="30">
    <w:name w:val=" Char Char1"/>
    <w:basedOn w:val="21"/>
    <w:link w:val="6"/>
    <w:locked/>
    <w:uiPriority w:val="0"/>
    <w:rPr>
      <w:rFonts w:eastAsia="宋体"/>
      <w:kern w:val="2"/>
      <w:sz w:val="21"/>
      <w:szCs w:val="24"/>
      <w:lang w:val="en-US" w:eastAsia="zh-CN" w:bidi="he-IL"/>
    </w:rPr>
  </w:style>
  <w:style w:type="character" w:customStyle="1" w:styleId="31">
    <w:name w:val="无间隔 Char"/>
    <w:basedOn w:val="21"/>
    <w:link w:val="32"/>
    <w:uiPriority w:val="1"/>
    <w:rPr>
      <w:rFonts w:ascii="Calibri" w:hAnsi="Calibri"/>
      <w:sz w:val="22"/>
      <w:szCs w:val="22"/>
      <w:lang w:val="en-US" w:eastAsia="zh-CN" w:bidi="ar-SA"/>
    </w:rPr>
  </w:style>
  <w:style w:type="paragraph" w:customStyle="1" w:styleId="32">
    <w:name w:val="无间隔"/>
    <w:link w:val="31"/>
    <w:qFormat/>
    <w:uiPriority w:val="1"/>
    <w:rPr>
      <w:rFonts w:ascii="Calibri" w:hAnsi="Calibri"/>
      <w:sz w:val="22"/>
      <w:szCs w:val="22"/>
      <w:lang w:val="en-US" w:eastAsia="zh-CN" w:bidi="ar-SA"/>
    </w:rPr>
  </w:style>
  <w:style w:type="character" w:customStyle="1" w:styleId="33">
    <w:name w:val=" Char Char2"/>
    <w:basedOn w:val="21"/>
    <w:link w:val="11"/>
    <w:semiHidden/>
    <w:locked/>
    <w:uiPriority w:val="0"/>
    <w:rPr>
      <w:rFonts w:ascii="Calibri" w:hAnsi="Calibri" w:eastAsia="宋体"/>
      <w:kern w:val="2"/>
      <w:sz w:val="18"/>
      <w:szCs w:val="18"/>
      <w:lang w:val="en-US" w:eastAsia="zh-CN" w:bidi="ar-SA"/>
    </w:rPr>
  </w:style>
  <w:style w:type="character" w:customStyle="1" w:styleId="34">
    <w:name w:val="页脚 Char"/>
    <w:basedOn w:val="21"/>
    <w:locked/>
    <w:uiPriority w:val="0"/>
    <w:rPr>
      <w:sz w:val="18"/>
      <w:szCs w:val="18"/>
      <w:lang w:bidi="ar-SA"/>
    </w:rPr>
  </w:style>
  <w:style w:type="paragraph" w:customStyle="1" w:styleId="35">
    <w:name w:val="p0"/>
    <w:basedOn w:val="1"/>
    <w:uiPriority w:val="0"/>
    <w:pPr>
      <w:widowControl/>
    </w:pPr>
    <w:rPr>
      <w:kern w:val="0"/>
      <w:szCs w:val="21"/>
    </w:rPr>
  </w:style>
  <w:style w:type="paragraph" w:customStyle="1" w:styleId="36">
    <w:name w:val="列出段落"/>
    <w:basedOn w:val="1"/>
    <w:qFormat/>
    <w:uiPriority w:val="0"/>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107</Pages>
  <Words>7891</Words>
  <Characters>44982</Characters>
  <Lines>374</Lines>
  <Paragraphs>105</Paragraphs>
  <TotalTime>3</TotalTime>
  <ScaleCrop>false</ScaleCrop>
  <LinksUpToDate>false</LinksUpToDate>
  <CharactersWithSpaces>52768</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2017-05-27T02:17:00Z</dcterms:created>
  <dc:creator>Users</dc:creator>
  <cp:lastModifiedBy>BenKeJiaoWu</cp:lastModifiedBy>
  <cp:lastPrinted>2017-06-02T09:41:00Z</cp:lastPrinted>
  <dcterms:modified xsi:type="dcterms:W3CDTF">2021-12-17T09:01:09Z</dcterms:modified>
  <dc:title>法学院各口规章管理制度</dc:title>
  <cp:revision>112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AFDE57B4E072466D8D04994F6D831060</vt:lpwstr>
  </property>
</Properties>
</file>